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="276" w:lineRule="auto"/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2304415</wp:posOffset>
                </wp:positionH>
                <wp:positionV relativeFrom="paragraph">
                  <wp:posOffset>-474</wp:posOffset>
                </wp:positionV>
                <wp:extent cx="1022985" cy="835660"/>
                <wp:effectExtent l="0" t="0" r="5715" b="2540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985" cy="835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rou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mc:AlternateContent>
                                <mc:Choice Requires="wpg">
                                  <w:drawing>
                                    <wp:inline xmlns:wp="http://schemas.openxmlformats.org/drawingml/2006/wordprocessingDrawing" distT="0" distB="0" distL="0" distR="0">
                                      <wp:extent cx="777923" cy="703441"/>
                                      <wp:effectExtent l="0" t="0" r="3175" b="1905"/>
                                      <wp:docPr id="2" name="Рисунок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Рисунок 2"/>
                                              <pic:cNvPicPr>
                                                <a:picLocks noChangeAspect="1"/>
                                              </pic:cNvPicPr>
                                              <pic:nvPr/>
                                            </pic:nvPicPr>
                                            <pic:blipFill>
                                              <a:blip r:embed="rId12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79345" cy="704727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shapetype type="#_x0000_t75" o:spt="75" coordsize="21600,21600" o:preferrelative="t" path="m@4@5l@4@11@9@11@9@5xe">
                                      <v:formulas>
                                        <v:f eqn="if lineDrawn pixelLineWidth 0"/>
                                        <v:f eqn="sum @0 1 0"/>
                                        <v:f eqn="sum 0 0 @1"/>
                                        <v:f eqn="prod @2 1 2"/>
                                        <v:f eqn="prod @3 21600 pixelWidth"/>
                                        <v:f eqn="prod @3 21600 pixelHeight"/>
                                        <v:f eqn="sum @0 0 1"/>
                                        <v:f eqn="prod @6 1 2"/>
                                        <v:f eqn="prod @7 21600 pixelWidth"/>
                                        <v:f eqn="sum @8 21600 0"/>
                                        <v:f eqn="prod @7 21600 pixelHeight"/>
                                        <v:f eqn="sum @10 21600 0"/>
                                      </v:formulas>
                                    </v:shapetype>
                                    <v:shape id="_x0000_i0" o:spid="_x0000_s0" type="#_x0000_t75" style="width:61.3pt;height:55.4pt;mso-wrap-distance-left:0.0pt;mso-wrap-distance-top:0.0pt;mso-wrap-distance-right:0.0pt;mso-wrap-distance-bottom:0.0pt;" stroked="false">
                                      <v:path textboxrect="0,0,0,0"/>
                                      <v:imagedata r:id="rId12" o:title=""/>
                                    </v:shape>
                                  </w:pict>
                                </mc:Fallback>
                              </mc:AlternateContent>
                            </w:r>
                            <w:r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1" o:spid="_x0000_s1" o:spt="202" type="#_x0000_t202" style="position:absolute;z-index:251660288;o:allowoverlap:true;o:allowincell:true;mso-position-horizontal-relative:text;margin-left:181.4pt;mso-position-horizontal:absolute;mso-position-vertical-relative:text;margin-top:-0.0pt;mso-position-vertical:absolute;width:80.5pt;height:65.8pt;mso-wrap-distance-left:9.0pt;mso-wrap-distance-top:0.0pt;mso-wrap-distance-right:9.0pt;mso-wrap-distance-bottom:0.0pt;v-text-anchor:top;visibility:visible;" fillcolor="#FFFFFF" stroked="f">
                <v:textbox inset="0,0,0,0">
                  <w:txbxContent>
                    <w:p>
                      <w:pPr>
                        <w:jc w:val="center"/>
                      </w:pPr>
                      <w:r>
                        <mc:AlternateContent>
                          <mc:Choice Requires="wpg">
                            <w:drawing>
                              <wp:inline xmlns:wp="http://schemas.openxmlformats.org/drawingml/2006/wordprocessingDrawing" distT="0" distB="0" distL="0" distR="0">
                                <wp:extent cx="777923" cy="703441"/>
                                <wp:effectExtent l="0" t="0" r="3175" b="1905"/>
                                <wp:docPr id="2" name="Рисунок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Рисунок 2"/>
                                        <pic:cNvPicPr>
                                          <a:picLocks noChangeAspect="1"/>
                                        </pic:cNvPicPr>
                                        <pic:nvPr/>
                                      </pic:nvPicPr>
                                      <pic:blipFill>
                                        <a:blip r:embed="rId12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79345" cy="70472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shapetype type="#_x0000_t75" o:spt="75" coordsize="21600,21600" o:preferrelative="t" path="m@4@5l@4@11@9@11@9@5xe"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</v:shapetype>
                              <v:shape id="_x0000_i0" o:spid="_x0000_s0" type="#_x0000_t75" style="width:61.3pt;height:55.4pt;mso-wrap-distance-left:0.0pt;mso-wrap-distance-top:0.0pt;mso-wrap-distance-right:0.0pt;mso-wrap-distance-bottom:0.0pt;" stroked="false">
                                <v:path textboxrect="0,0,0,0"/>
                                <v:imagedata r:id="rId12" o:title=""/>
                              </v:shape>
                            </w:pict>
                          </mc:Fallback>
                        </mc:AlternateContent>
                      </w:r>
                      <w:r/>
                    </w:p>
                  </w:txbxContent>
                </v:textbox>
              </v:shape>
            </w:pict>
          </mc:Fallback>
        </mc:AlternateContent>
      </w:r>
      <w:r/>
    </w:p>
    <w:p>
      <w:pPr>
        <w:spacing w:line="276" w:lineRule="auto"/>
      </w:pPr>
      <w:r/>
      <w:r/>
    </w:p>
    <w:p>
      <w:pPr>
        <w:spacing w:line="276" w:lineRule="auto"/>
      </w:pPr>
      <w:r/>
      <w:r/>
    </w:p>
    <w:p>
      <w:pPr>
        <w:spacing w:line="276" w:lineRule="auto"/>
      </w:pPr>
      <w:r/>
      <w:r/>
    </w:p>
    <w:p>
      <w:pPr>
        <w:spacing w:line="276" w:lineRule="auto"/>
      </w:pPr>
      <w:r/>
      <w:r/>
    </w:p>
    <w:p>
      <w:pPr>
        <w:spacing w:line="276" w:lineRule="auto"/>
      </w:pPr>
      <w:r/>
      <w:r/>
    </w:p>
    <w:p>
      <w:pPr>
        <w:spacing w:line="276" w:lineRule="auto"/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-184480</wp:posOffset>
                </wp:positionH>
                <wp:positionV relativeFrom="paragraph">
                  <wp:posOffset>13970</wp:posOffset>
                </wp:positionV>
                <wp:extent cx="6113780" cy="501650"/>
                <wp:effectExtent l="0" t="0" r="127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3780" cy="50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ind w:right="-11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ДЕПАРТАМЕНТ ОБРА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ЗОВАНИЯ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И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НАУКИ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/>
                          </w:p>
                          <w:p>
                            <w:pPr>
                              <w:ind w:left="142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ХАНТЫ-МАНСИЙСКОГО АВТОНОМНОГО ОКРУГА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ЮГРЫ</w:t>
                            </w:r>
                            <w:r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2" o:spid="_x0000_s2" o:spt="202" type="#_x0000_t202" style="position:absolute;z-index:251657216;o:allowoverlap:true;o:allowincell:true;mso-position-horizontal-relative:text;margin-left:-14.5pt;mso-position-horizontal:absolute;mso-position-vertical-relative:text;margin-top:1.1pt;mso-position-vertical:absolute;width:481.4pt;height:39.5pt;mso-wrap-distance-left:9.0pt;mso-wrap-distance-top:0.0pt;mso-wrap-distance-right:9.0pt;mso-wrap-distance-bottom:0.0pt;v-text-anchor:top;visibility:visible;" fillcolor="#FFFFFF" stroked="f">
                <v:textbox inset="0,0,0,0">
                  <w:txbxContent>
                    <w:p>
                      <w:pPr>
                        <w:ind w:right="-11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ДЕПАРТАМЕНТ ОБРА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ЗОВАНИЯ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И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НАУКИ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/>
                    </w:p>
                    <w:p>
                      <w:pPr>
                        <w:ind w:left="142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ХАНТЫ-МАНСИЙСКОГО АВТОНОМНОГО ОКРУГА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–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ЮГРЫ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/>
    </w:p>
    <w:p>
      <w:pPr>
        <w:spacing w:line="276" w:lineRule="auto"/>
      </w:pPr>
      <w:r/>
      <w:r/>
    </w:p>
    <w:p>
      <w:pPr>
        <w:spacing w:line="276" w:lineRule="auto"/>
      </w:pPr>
      <w:r/>
      <w:r/>
    </w:p>
    <w:p>
      <w:pPr>
        <w:spacing w:line="276" w:lineRule="auto"/>
      </w:pPr>
      <w:r/>
      <w:r/>
    </w:p>
    <w:p>
      <w:pPr>
        <w:spacing w:line="276" w:lineRule="auto"/>
      </w:pPr>
      <w:r/>
      <w:r/>
    </w:p>
    <w:p>
      <w:pPr>
        <w:spacing w:line="276" w:lineRule="auto"/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301965</wp:posOffset>
                </wp:positionH>
                <wp:positionV relativeFrom="paragraph">
                  <wp:posOffset>36703</wp:posOffset>
                </wp:positionV>
                <wp:extent cx="5483774" cy="2500691"/>
                <wp:effectExtent l="6350" t="6350" r="635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>
                        <a:spLocks noChangeArrowheads="1"/>
                      </wps:cNvSpPr>
                      <wps:spPr bwMode="auto">
                        <a:xfrm flipH="0" flipV="0">
                          <a:off x="0" y="0"/>
                          <a:ext cx="5483773" cy="25006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ПРИКАЗ</w:t>
                            </w:r>
                            <w:r/>
                          </w:p>
                          <w:p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</w:r>
                            <w:r/>
                          </w:p>
                          <w:p>
                            <w:pPr>
                              <w:ind w:left="0" w:right="0" w:firstLine="0"/>
                              <w:jc w:val="center"/>
                              <w:spacing w:before="0" w:beforeAutospacing="0" w:after="0" w:afterAutospacing="0" w:line="276" w:lineRule="auto"/>
                              <w:rPr>
                                <w:sz w:val="28"/>
                                <w:szCs w:val="28"/>
                              </w:rPr>
                              <w:pBdr>
                                <w:top w:val="none" w:color="000000" w:sz="4" w:space="0"/>
                                <w:left w:val="none" w:color="000000" w:sz="4" w:space="0"/>
                                <w:bottom w:val="none" w:color="000000" w:sz="4" w:space="0"/>
                                <w:right w:val="none" w:color="000000" w:sz="4" w:space="0"/>
                              </w:pBd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Об утверждении протокол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ов проверки результатов государственной итоговой аттестации по образовательным программам основного общего образования в форме основного государственного экзамена в компьютерной форме по учебному предмету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«информатика»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, в форме основного государственного экзамена по учебным предметам «биология», «литература», «физика», в форме государственного выпускного экзамена по учебному предмету «литература» в основной день основного периода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в 2024 году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</w:r>
                            <w:r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" o:spid="_x0000_s3" o:spt="202" type="#_x0000_t202" style="position:absolute;z-index:251658240;o:allowoverlap:true;o:allowincell:true;mso-position-horizontal-relative:text;margin-left:23.8pt;mso-position-horizontal:absolute;mso-position-vertical-relative:text;margin-top:2.9pt;mso-position-vertical:absolute;width:431.8pt;height:196.9pt;mso-wrap-distance-left:9.0pt;mso-wrap-distance-top:0.0pt;mso-wrap-distance-right:9.0pt;mso-wrap-distance-bottom:0.0pt;v-text-anchor:top;visibility:visible;" fillcolor="#FFFFFF" stroked="f">
                <v:textbox inset="0,0,0,0">
                  <w:txbxContent>
                    <w:p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ПРИКАЗ</w:t>
                      </w:r>
                      <w:r/>
                    </w:p>
                    <w:p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</w:r>
                      <w:r>
                        <w:rPr>
                          <w:sz w:val="28"/>
                          <w:szCs w:val="28"/>
                        </w:rPr>
                      </w:r>
                      <w:r/>
                    </w:p>
                    <w:p>
                      <w:pPr>
                        <w:ind w:left="0" w:right="0" w:firstLine="0"/>
                        <w:jc w:val="center"/>
                        <w:spacing w:before="0" w:beforeAutospacing="0" w:after="0" w:afterAutospacing="0" w:line="276" w:lineRule="auto"/>
                        <w:rPr>
                          <w:sz w:val="28"/>
                          <w:szCs w:val="28"/>
                        </w:rPr>
                        <w:pBdr>
                          <w:top w:val="none" w:color="000000" w:sz="4" w:space="0"/>
                          <w:left w:val="none" w:color="000000" w:sz="4" w:space="0"/>
                          <w:bottom w:val="none" w:color="000000" w:sz="4" w:space="0"/>
                          <w:right w:val="none" w:color="000000" w:sz="4" w:space="0"/>
                        </w:pBdr>
                      </w:pPr>
                      <w:r>
                        <w:rPr>
                          <w:sz w:val="28"/>
                          <w:szCs w:val="28"/>
                        </w:rPr>
                        <w:t xml:space="preserve">Об утверждении протокол</w:t>
                      </w:r>
                      <w:r>
                        <w:rPr>
                          <w:sz w:val="28"/>
                          <w:szCs w:val="28"/>
                        </w:rPr>
                        <w:t xml:space="preserve">ов проверки результатов государственной итоговой аттестации по образовательным программам основного общего образования в форме основного государственного экзамена в компьютерной форме по учебному предмету</w:t>
                      </w:r>
                      <w:r>
                        <w:rPr>
                          <w:sz w:val="28"/>
                          <w:szCs w:val="28"/>
                        </w:rPr>
                        <w:t xml:space="preserve"> «информатика»</w:t>
                      </w:r>
                      <w:r>
                        <w:rPr>
                          <w:sz w:val="28"/>
                          <w:szCs w:val="28"/>
                        </w:rPr>
                        <w:t xml:space="preserve">, в форме основного государственного экзамена по учебным предметам «биология», «литература», «физика», в форме государственного выпускного экзамена по учебному предмету «литература» в основной день основного периода </w:t>
                      </w:r>
                      <w:r>
                        <w:rPr>
                          <w:sz w:val="28"/>
                          <w:szCs w:val="28"/>
                        </w:rPr>
                        <w:t xml:space="preserve">в 2024 году</w:t>
                      </w:r>
                      <w:r>
                        <w:rPr>
                          <w:sz w:val="28"/>
                          <w:szCs w:val="28"/>
                        </w:rPr>
                      </w:r>
                      <w:r/>
                    </w:p>
                  </w:txbxContent>
                </v:textbox>
              </v:shape>
            </w:pict>
          </mc:Fallback>
        </mc:AlternateContent>
      </w:r>
      <w:r/>
    </w:p>
    <w:p>
      <w:pPr>
        <w:spacing w:line="276" w:lineRule="auto"/>
      </w:pPr>
      <w:r/>
      <w:r/>
    </w:p>
    <w:p>
      <w:pPr>
        <w:spacing w:line="276" w:lineRule="auto"/>
      </w:pPr>
      <w:r/>
      <w:r/>
    </w:p>
    <w:p>
      <w:pPr>
        <w:spacing w:line="276" w:lineRule="auto"/>
      </w:pPr>
      <w:r/>
      <w:r/>
    </w:p>
    <w:p>
      <w:pPr>
        <w:spacing w:line="276" w:lineRule="auto"/>
      </w:pPr>
      <w:r/>
      <w:r/>
    </w:p>
    <w:p>
      <w:pPr>
        <w:spacing w:line="276" w:lineRule="auto"/>
      </w:pPr>
      <w:r/>
      <w:r/>
    </w:p>
    <w:p>
      <w:pPr>
        <w:ind w:firstLine="720"/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spacing w:line="276" w:lineRule="auto"/>
        <w:rPr>
          <w:color w:val="d9d9d9" w:themeColor="background1" w:themeShade="D9"/>
          <w:sz w:val="24"/>
          <w:szCs w:val="24"/>
        </w:rPr>
      </w:pPr>
      <w:r>
        <w:rPr>
          <w:color w:val="d9d9d9" w:themeColor="background1" w:themeShade="D9"/>
          <w:sz w:val="24"/>
          <w:szCs w:val="24"/>
        </w:rPr>
      </w:r>
      <w:r/>
    </w:p>
    <w:p>
      <w:pPr>
        <w:jc w:val="both"/>
        <w:spacing w:line="276" w:lineRule="auto"/>
        <w:rPr>
          <w:color w:val="d9d9d9" w:themeColor="background1" w:themeShade="D9"/>
          <w:sz w:val="24"/>
          <w:szCs w:val="24"/>
        </w:rPr>
      </w:pPr>
      <w:r>
        <w:rPr>
          <w:color w:val="d9d9d9" w:themeColor="background1" w:themeShade="D9"/>
          <w:sz w:val="24"/>
          <w:szCs w:val="24"/>
        </w:rPr>
      </w:r>
      <w:r/>
    </w:p>
    <w:p>
      <w:pPr>
        <w:jc w:val="both"/>
        <w:spacing w:line="276" w:lineRule="auto"/>
        <w:rPr>
          <w:color w:val="d9d9d9" w:themeColor="background1" w:themeShade="D9"/>
          <w:sz w:val="24"/>
          <w:szCs w:val="24"/>
          <w:highlight w:val="none"/>
        </w:rPr>
      </w:pPr>
      <w:r>
        <w:rPr>
          <w:color w:val="d9d9d9" w:themeColor="background1" w:themeShade="D9"/>
          <w:sz w:val="24"/>
          <w:szCs w:val="24"/>
          <w:highlight w:val="none"/>
        </w:rPr>
      </w:r>
      <w:r>
        <w:rPr>
          <w:color w:val="d9d9d9" w:themeColor="background1" w:themeShade="D9"/>
          <w:sz w:val="24"/>
          <w:szCs w:val="24"/>
          <w:highlight w:val="none"/>
        </w:rPr>
      </w:r>
      <w:r/>
    </w:p>
    <w:p>
      <w:pPr>
        <w:jc w:val="both"/>
        <w:spacing w:line="276" w:lineRule="auto"/>
        <w:rPr>
          <w:color w:val="auto"/>
          <w:sz w:val="24"/>
          <w:szCs w:val="24"/>
          <w:highlight w:val="none"/>
        </w:rPr>
      </w:pPr>
      <w:r>
        <w:rPr>
          <w:color w:val="auto"/>
          <w:sz w:val="24"/>
          <w:szCs w:val="24"/>
          <w:highlight w:val="none"/>
        </w:rPr>
      </w:r>
      <w:r>
        <w:rPr>
          <w:color w:val="auto"/>
          <w:sz w:val="24"/>
          <w:szCs w:val="24"/>
          <w:highlight w:val="none"/>
        </w:rPr>
      </w:r>
      <w:r/>
    </w:p>
    <w:p>
      <w:pPr>
        <w:jc w:val="both"/>
        <w:spacing w:line="276" w:lineRule="auto"/>
        <w:rPr>
          <w:color w:val="auto"/>
          <w:sz w:val="24"/>
          <w:szCs w:val="24"/>
          <w:highlight w:val="none"/>
        </w:rPr>
      </w:pPr>
      <w:r>
        <w:rPr>
          <w:color w:val="auto"/>
          <w:sz w:val="24"/>
          <w:szCs w:val="24"/>
          <w:highlight w:val="none"/>
        </w:rPr>
      </w:r>
      <w:r>
        <w:rPr>
          <w:color w:val="auto"/>
          <w:sz w:val="24"/>
          <w:szCs w:val="24"/>
          <w:highlight w:val="none"/>
        </w:rPr>
      </w:r>
      <w:r/>
    </w:p>
    <w:p>
      <w:pPr>
        <w:jc w:val="both"/>
        <w:spacing w:line="276" w:lineRule="auto"/>
        <w:rPr>
          <w:color w:val="auto"/>
          <w:sz w:val="24"/>
          <w:szCs w:val="24"/>
          <w:highlight w:val="none"/>
        </w:rPr>
      </w:pPr>
      <w:r>
        <w:rPr>
          <w:color w:val="auto"/>
          <w:sz w:val="24"/>
          <w:szCs w:val="24"/>
          <w:highlight w:val="none"/>
        </w:rPr>
      </w:r>
      <w:r>
        <w:rPr>
          <w:color w:val="auto"/>
          <w:sz w:val="24"/>
          <w:szCs w:val="24"/>
          <w:highlight w:val="none"/>
        </w:rPr>
      </w:r>
      <w:r/>
    </w:p>
    <w:p>
      <w:pPr>
        <w:jc w:val="both"/>
        <w:spacing w:line="276" w:lineRule="auto"/>
        <w:rPr>
          <w:color w:val="auto"/>
          <w:sz w:val="24"/>
          <w:szCs w:val="24"/>
          <w:highlight w:val="none"/>
        </w:rPr>
      </w:pPr>
      <w:r>
        <w:rPr>
          <w:color w:val="auto"/>
          <w:sz w:val="24"/>
          <w:szCs w:val="24"/>
          <w:highlight w:val="none"/>
        </w:rPr>
      </w:r>
      <w:r>
        <w:rPr>
          <w:color w:val="auto"/>
          <w:sz w:val="24"/>
          <w:szCs w:val="24"/>
          <w:highlight w:val="none"/>
        </w:rPr>
      </w:r>
      <w:r/>
    </w:p>
    <w:p>
      <w:pPr>
        <w:jc w:val="both"/>
        <w:spacing w:line="276" w:lineRule="auto"/>
        <w:rPr>
          <w:color w:val="auto"/>
          <w:sz w:val="24"/>
          <w:szCs w:val="24"/>
          <w:highlight w:val="none"/>
        </w:rPr>
      </w:pPr>
      <w:r>
        <w:rPr>
          <w:color w:val="auto"/>
          <w:sz w:val="24"/>
          <w:szCs w:val="24"/>
          <w:highlight w:val="none"/>
        </w:rPr>
      </w:r>
      <w:r>
        <w:rPr>
          <w:color w:val="auto"/>
          <w:sz w:val="24"/>
          <w:szCs w:val="24"/>
          <w:highlight w:val="none"/>
        </w:rPr>
      </w:r>
      <w:r/>
    </w:p>
    <w:p>
      <w:pPr>
        <w:jc w:val="both"/>
        <w:spacing w:line="276" w:lineRule="auto"/>
        <w:rPr>
          <w:color w:val="auto"/>
          <w:sz w:val="24"/>
          <w:szCs w:val="24"/>
          <w:highlight w:val="none"/>
        </w:rPr>
      </w:pPr>
      <w:r>
        <w:rPr>
          <w:color w:val="auto"/>
          <w:sz w:val="24"/>
          <w:szCs w:val="24"/>
          <w:highlight w:val="none"/>
        </w:rPr>
      </w:r>
      <w:r>
        <w:rPr>
          <w:color w:val="auto"/>
          <w:sz w:val="24"/>
          <w:szCs w:val="24"/>
          <w:highlight w:val="none"/>
        </w:rPr>
      </w:r>
      <w:r/>
    </w:p>
    <w:p>
      <w:pPr>
        <w:jc w:val="both"/>
        <w:spacing w:line="276" w:lineRule="auto"/>
        <w:rPr>
          <w:color w:val="auto"/>
          <w:sz w:val="24"/>
          <w:szCs w:val="24"/>
          <w:highlight w:val="yellow"/>
        </w:rPr>
      </w:pPr>
      <w:r>
        <w:rPr>
          <w:color w:val="auto"/>
          <w:sz w:val="24"/>
          <w:szCs w:val="24"/>
          <w:highlight w:val="none"/>
        </w:rPr>
        <w:t xml:space="preserve">19.06.2024</w:t>
      </w:r>
      <w:r>
        <w:rPr>
          <w:color w:val="d9d9d9" w:themeColor="background1" w:themeShade="D9"/>
          <w:sz w:val="24"/>
          <w:szCs w:val="24"/>
        </w:rPr>
        <w:t xml:space="preserve">                                                                             </w:t>
      </w:r>
      <w:r>
        <w:rPr>
          <w:color w:val="d9d9d9" w:themeColor="background1" w:themeShade="D9"/>
          <w:sz w:val="24"/>
          <w:szCs w:val="24"/>
          <w:highlight w:val="none"/>
        </w:rPr>
        <w:t xml:space="preserve"> </w:t>
      </w:r>
      <w:r>
        <w:rPr>
          <w:color w:val="auto"/>
          <w:sz w:val="24"/>
          <w:szCs w:val="24"/>
          <w:highlight w:val="none"/>
        </w:rPr>
        <w:t xml:space="preserve"> № 10-П-</w:t>
      </w:r>
      <w:r>
        <w:rPr>
          <w:color w:val="auto"/>
          <w:sz w:val="24"/>
          <w:szCs w:val="24"/>
          <w:highlight w:val="none"/>
        </w:rPr>
        <w:t xml:space="preserve">1205</w:t>
      </w:r>
      <w:r>
        <w:rPr>
          <w:highlight w:val="yellow"/>
        </w:rPr>
      </w:r>
    </w:p>
    <w:p>
      <w:pPr>
        <w:jc w:val="both"/>
        <w:spacing w:line="276" w:lineRule="auto"/>
        <w:rPr>
          <w:color w:val="d9d9d9" w:themeColor="background1" w:themeShade="D9"/>
          <w:sz w:val="24"/>
          <w:szCs w:val="24"/>
        </w:rPr>
      </w:pPr>
      <w:r>
        <w:rPr>
          <w:color w:val="d9d9d9" w:themeColor="background1" w:themeShade="D9"/>
          <w:sz w:val="24"/>
          <w:szCs w:val="24"/>
        </w:rPr>
      </w:r>
      <w:r/>
    </w:p>
    <w:p>
      <w:pPr>
        <w:ind w:right="350"/>
        <w:jc w:val="both"/>
        <w:spacing w:line="276" w:lineRule="auto"/>
        <w:tabs>
          <w:tab w:val="left" w:pos="9498" w:leader="none"/>
        </w:tabs>
        <w:rPr>
          <w:sz w:val="24"/>
          <w:szCs w:val="24"/>
          <w:highlight w:val="none"/>
        </w:rPr>
      </w:pPr>
      <w:r>
        <w:rPr>
          <w:sz w:val="24"/>
          <w:szCs w:val="24"/>
        </w:rPr>
        <w:t xml:space="preserve">Ханты-Мансийск</w:t>
      </w:r>
      <w:r/>
    </w:p>
    <w:p>
      <w:pPr>
        <w:ind w:firstLine="709"/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left="0" w:right="0" w:firstLine="709"/>
        <w:jc w:val="both"/>
        <w:spacing w:before="0" w:beforeAutospacing="0" w:after="0" w:afterAutospacing="0" w:line="276" w:lineRule="auto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sz w:val="28"/>
          <w:szCs w:val="28"/>
        </w:rPr>
        <w:t xml:space="preserve">В соответствии с Порядком проведения государственной итоговой аттестации по образовательным программам основного общего образования, утвержденным приказом </w:t>
      </w:r>
      <w:r>
        <w:rPr>
          <w:sz w:val="28"/>
          <w:szCs w:val="28"/>
        </w:rPr>
        <w:t xml:space="preserve">Министерства просвещения Российской Федерац</w:t>
      </w:r>
      <w:r>
        <w:rPr>
          <w:sz w:val="28"/>
          <w:szCs w:val="28"/>
        </w:rPr>
        <w:t xml:space="preserve">ии и Федеральной службы по надзору в сфере образования и науки от 4 апреля 2023 года № 232/551, на основании решения председателя Государственной экзаменационной комиссии Ханты-Мансийского автономного округа – Югры (</w:t>
      </w:r>
      <w:r>
        <w:rPr>
          <w:sz w:val="28"/>
          <w:szCs w:val="28"/>
          <w:highlight w:val="none"/>
        </w:rPr>
        <w:t xml:space="preserve">протокол </w:t>
        <w:br/>
      </w:r>
      <w:r>
        <w:rPr>
          <w:sz w:val="28"/>
          <w:szCs w:val="28"/>
          <w:highlight w:val="none"/>
        </w:rPr>
        <w:t xml:space="preserve">от </w:t>
      </w:r>
      <w:r>
        <w:rPr>
          <w:sz w:val="28"/>
          <w:szCs w:val="28"/>
          <w:highlight w:val="none"/>
          <w:lang w:val="en-US"/>
        </w:rPr>
        <w:t xml:space="preserve">1</w:t>
      </w:r>
      <w:r>
        <w:rPr>
          <w:sz w:val="28"/>
          <w:szCs w:val="28"/>
          <w:highlight w:val="none"/>
          <w:lang w:val="ru-RU"/>
        </w:rPr>
        <w:t xml:space="preserve">9</w:t>
      </w:r>
      <w:r>
        <w:rPr>
          <w:sz w:val="28"/>
          <w:szCs w:val="28"/>
          <w:highlight w:val="none"/>
        </w:rPr>
        <w:t xml:space="preserve"> июня 2024 года № </w:t>
      </w:r>
      <w:r>
        <w:rPr>
          <w:sz w:val="28"/>
          <w:szCs w:val="28"/>
          <w:highlight w:val="none"/>
          <w:lang w:val="en-US"/>
        </w:rPr>
        <w:t xml:space="preserve">6</w:t>
      </w:r>
      <w:r>
        <w:rPr>
          <w:sz w:val="28"/>
          <w:szCs w:val="28"/>
          <w:highlight w:val="none"/>
          <w:lang w:val="ru-RU"/>
        </w:rPr>
        <w:t xml:space="preserve">8</w:t>
      </w:r>
      <w:r>
        <w:rPr>
          <w:sz w:val="28"/>
          <w:szCs w:val="28"/>
          <w:highlight w:val="none"/>
        </w:rPr>
        <w:t xml:space="preserve">-П</w:t>
      </w:r>
      <w:r>
        <w:rPr>
          <w:sz w:val="28"/>
          <w:szCs w:val="28"/>
        </w:rPr>
        <w:t xml:space="preserve">),</w:t>
      </w:r>
      <w:r>
        <w:rPr>
          <w:sz w:val="28"/>
          <w:szCs w:val="28"/>
        </w:rPr>
      </w:r>
      <w:r/>
    </w:p>
    <w:p>
      <w:pPr>
        <w:ind w:left="0" w:right="0" w:firstLine="709"/>
        <w:jc w:val="both"/>
        <w:spacing w:before="0" w:beforeAutospacing="0" w:after="0" w:afterAutospacing="0" w:line="240" w:lineRule="auto"/>
        <w:rPr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/>
    </w:p>
    <w:p>
      <w:pPr>
        <w:ind w:firstLine="709"/>
        <w:jc w:val="both"/>
        <w:spacing w:line="240" w:lineRule="auto"/>
        <w:tabs>
          <w:tab w:val="left" w:pos="851" w:leader="none"/>
          <w:tab w:val="left" w:pos="9214" w:leader="none"/>
        </w:tabs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ПРИКАЗЫВАЮ:</w:t>
      </w:r>
      <w:r>
        <w:rPr>
          <w:sz w:val="28"/>
          <w:szCs w:val="28"/>
          <w:highlight w:val="none"/>
        </w:rPr>
      </w:r>
      <w:r/>
    </w:p>
    <w:p>
      <w:pPr>
        <w:ind w:firstLine="709"/>
        <w:jc w:val="both"/>
        <w:spacing w:line="240" w:lineRule="auto"/>
        <w:tabs>
          <w:tab w:val="left" w:pos="851" w:leader="none"/>
          <w:tab w:val="left" w:pos="9214" w:leader="none"/>
        </w:tabs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/>
    </w:p>
    <w:p>
      <w:pPr>
        <w:ind w:left="0" w:right="0" w:firstLine="992"/>
        <w:jc w:val="both"/>
        <w:spacing w:line="276" w:lineRule="auto"/>
        <w:rPr>
          <w:rFonts w:eastAsia="Calibri"/>
          <w:sz w:val="28"/>
          <w:szCs w:val="28"/>
          <w:highlight w:val="none"/>
          <w:lang w:eastAsia="en-US"/>
        </w:rPr>
      </w:pPr>
      <w:r>
        <w:rPr>
          <w:rFonts w:eastAsia="Calibri"/>
          <w:sz w:val="28"/>
          <w:szCs w:val="28"/>
          <w:highlight w:val="none"/>
          <w:lang w:eastAsia="en-US"/>
        </w:rPr>
        <w:t xml:space="preserve">1. Утвердить прилагаемые в электронном виде протоколы проверки результатов государственной итоговой атт</w:t>
      </w:r>
      <w:r>
        <w:rPr>
          <w:rFonts w:eastAsia="Calibri"/>
          <w:sz w:val="28"/>
          <w:szCs w:val="28"/>
          <w:highlight w:val="none"/>
          <w:lang w:eastAsia="en-US"/>
        </w:rPr>
        <w:t xml:space="preserve">естации по образовательным программам  основного общего образования </w:t>
        <w:br/>
        <w:t xml:space="preserve">(далее – ГИА-9) в форме основного государственного экзамена </w:t>
      </w:r>
      <w:r>
        <w:rPr>
          <w:rFonts w:eastAsia="Calibri"/>
          <w:sz w:val="28"/>
          <w:szCs w:val="28"/>
          <w:highlight w:val="none"/>
          <w:lang w:eastAsia="en-US"/>
        </w:rPr>
        <w:t xml:space="preserve">в компьютерной форме (далее - КОГЭ)</w:t>
      </w:r>
      <w:r>
        <w:rPr>
          <w:rFonts w:eastAsia="Calibri"/>
          <w:sz w:val="28"/>
          <w:szCs w:val="28"/>
          <w:highlight w:val="none"/>
          <w:lang w:eastAsia="en-US"/>
        </w:rPr>
        <w:t xml:space="preserve"> по учебному предмету «информатика», </w:t>
      </w:r>
      <w:r>
        <w:rPr>
          <w:sz w:val="28"/>
          <w:szCs w:val="28"/>
        </w:rPr>
        <w:t xml:space="preserve">в форме основного государственного экзамена (далее – ОГЭ) по учебным предметам «биология», «литература», «физика», в форме государственного выпускного экзамена (далее – ГВЭ) по учебному предмету «литература»</w:t>
      </w:r>
      <w:r>
        <w:rPr>
          <w:rFonts w:eastAsia="Calibri"/>
          <w:sz w:val="28"/>
          <w:szCs w:val="28"/>
          <w:highlight w:val="none"/>
          <w:lang w:eastAsia="en-US"/>
        </w:rPr>
        <w:t xml:space="preserve"> в основной день (14 июня) основного периода в 2024 году.</w:t>
      </w:r>
      <w:r>
        <w:rPr>
          <w:rFonts w:eastAsia="Calibri"/>
          <w:sz w:val="28"/>
          <w:szCs w:val="28"/>
          <w:highlight w:val="none"/>
          <w:lang w:eastAsia="en-US"/>
        </w:rPr>
      </w:r>
      <w:r/>
    </w:p>
    <w:p>
      <w:pPr>
        <w:ind w:left="0" w:right="0" w:firstLine="992"/>
        <w:jc w:val="both"/>
        <w:spacing w:line="276" w:lineRule="auto"/>
        <w:rPr>
          <w:rFonts w:eastAsia="Calibri"/>
          <w:sz w:val="28"/>
          <w:szCs w:val="28"/>
          <w:highlight w:val="none"/>
          <w:lang w:eastAsia="en-US"/>
        </w:rPr>
      </w:pPr>
      <w:r>
        <w:rPr>
          <w:rFonts w:eastAsia="Calibri"/>
          <w:sz w:val="28"/>
          <w:szCs w:val="28"/>
          <w:highlight w:val="none"/>
          <w:lang w:eastAsia="en-US"/>
        </w:rPr>
        <w:t xml:space="preserve">2. Считать 20 июня 2024 го</w:t>
      </w:r>
      <w:r>
        <w:rPr>
          <w:rFonts w:eastAsia="Calibri"/>
          <w:sz w:val="28"/>
          <w:szCs w:val="28"/>
          <w:highlight w:val="none"/>
          <w:lang w:eastAsia="en-US"/>
        </w:rPr>
        <w:t xml:space="preserve">да датой объявления результатов ГИА-9 в форме КОГЭ по учебному предмету «информатика»,</w:t>
      </w:r>
      <w:r>
        <w:rPr>
          <w:sz w:val="28"/>
          <w:szCs w:val="28"/>
        </w:rPr>
        <w:t xml:space="preserve"> в форме ОГЭ  по учебным предметам «биология», «литература», «физика», в форме ГВЭ по учебному предмету «литература»</w:t>
      </w:r>
      <w:r/>
      <w:r>
        <w:rPr>
          <w:rFonts w:eastAsia="Calibri"/>
          <w:sz w:val="28"/>
          <w:szCs w:val="28"/>
          <w:highlight w:val="none"/>
          <w:lang w:eastAsia="en-US"/>
        </w:rPr>
      </w:r>
      <w:r>
        <w:rPr>
          <w:sz w:val="28"/>
          <w:szCs w:val="28"/>
        </w:rPr>
        <w:t xml:space="preserve">, </w:t>
      </w:r>
      <w:r>
        <w:rPr>
          <w:rFonts w:eastAsia="Calibri"/>
          <w:sz w:val="28"/>
          <w:szCs w:val="28"/>
          <w:highlight w:val="none"/>
          <w:lang w:eastAsia="en-US"/>
        </w:rPr>
        <w:t xml:space="preserve">проводимых  в основной день (14 июня) основного периода в 2024 году.</w:t>
      </w:r>
      <w:r>
        <w:rPr>
          <w:rFonts w:eastAsia="Calibri"/>
          <w:sz w:val="28"/>
          <w:szCs w:val="28"/>
          <w:highlight w:val="none"/>
          <w:lang w:eastAsia="en-US"/>
        </w:rPr>
      </w:r>
      <w:r/>
    </w:p>
    <w:p>
      <w:pPr>
        <w:ind w:left="0" w:right="0" w:firstLine="992"/>
        <w:jc w:val="both"/>
        <w:spacing w:line="276" w:lineRule="auto"/>
        <w:rPr>
          <w:rFonts w:eastAsia="Calibri"/>
          <w:sz w:val="28"/>
          <w:szCs w:val="28"/>
          <w:highlight w:val="none"/>
          <w:lang w:eastAsia="en-US"/>
        </w:rPr>
      </w:pPr>
      <w:r>
        <w:rPr>
          <w:rFonts w:eastAsia="Calibri"/>
          <w:sz w:val="28"/>
          <w:szCs w:val="28"/>
          <w:highlight w:val="none"/>
          <w:lang w:eastAsia="en-US"/>
        </w:rPr>
        <w:t xml:space="preserve">3. Рекомендовать 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уководителям органов местного самоуправления муниципальных образований Ханты-Мансийского автономного округа – Югры, осуществляющих управление в сфере образования</w:t>
      </w:r>
      <w:r>
        <w:rPr>
          <w:sz w:val="28"/>
          <w:szCs w:val="28"/>
          <w:highlight w:val="none"/>
        </w:rPr>
        <w:t xml:space="preserve">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руководителям образовательных организаций, находящихся в ведении иных органов исполнительной власти </w:t>
      </w:r>
      <w:r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Югры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(</w:t>
      </w:r>
      <w:r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А.В.</w:t>
      </w:r>
      <w:r>
        <w:rPr>
          <w:rFonts w:ascii="Times New Roman" w:hAnsi="Times New Roman" w:cs="Times New Roman"/>
          <w:color w:val="auto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Тарасов, </w:t>
      </w:r>
      <w:r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К.А. Васильев, </w:t>
      </w:r>
      <w:r>
        <w:rPr>
          <w:rFonts w:ascii="Times New Roman" w:hAnsi="Times New Roman" w:cs="Times New Roman"/>
          <w:color w:val="auto"/>
          <w:sz w:val="28"/>
          <w:szCs w:val="28"/>
          <w:lang w:bidi="ru-RU"/>
        </w:rPr>
        <w:t xml:space="preserve">А.А.</w:t>
      </w:r>
      <w:r>
        <w:rPr>
          <w:rFonts w:ascii="Times New Roman" w:hAnsi="Times New Roman" w:cs="Times New Roman"/>
          <w:color w:val="auto"/>
          <w:sz w:val="28"/>
          <w:szCs w:val="28"/>
          <w:lang w:val="ru-RU" w:bidi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bidi="ru-RU"/>
        </w:rPr>
        <w:t xml:space="preserve">Кобцева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),</w:t>
      </w:r>
      <w:r>
        <w:rPr>
          <w:rFonts w:eastAsia="Calibri"/>
          <w:sz w:val="28"/>
          <w:szCs w:val="28"/>
          <w:highlight w:val="none"/>
          <w:lang w:eastAsia="en-US"/>
        </w:rPr>
        <w:t xml:space="preserve"> обеспечить доведение, утвержденных пунктом 1 протоколов проверки результатов ГИА-9 в форме КОГЭ по учебному предмету «информатика», </w:t>
      </w:r>
      <w:r>
        <w:rPr>
          <w:sz w:val="28"/>
          <w:szCs w:val="28"/>
        </w:rPr>
      </w:r>
      <w:r>
        <w:rPr>
          <w:sz w:val="28"/>
          <w:szCs w:val="28"/>
        </w:rPr>
        <w:t xml:space="preserve">в форме ОГЭ по учебным предметам «биология», «литература», «физика» в форме ГВЭ по учебному предмету «литература»</w:t>
      </w:r>
      <w:r/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highlight w:val="none"/>
          <w:lang w:eastAsia="en-US"/>
        </w:rPr>
        <w:t xml:space="preserve">до участников ГИА-9 в срок до 20.00 часов 20 июня 2024 года.</w:t>
      </w:r>
      <w:r>
        <w:rPr>
          <w:rFonts w:eastAsia="Calibri"/>
          <w:sz w:val="28"/>
          <w:szCs w:val="28"/>
          <w:highlight w:val="none"/>
          <w:lang w:eastAsia="en-US"/>
        </w:rPr>
      </w:r>
      <w:r/>
    </w:p>
    <w:p>
      <w:pPr>
        <w:ind w:left="0" w:right="0" w:firstLine="992"/>
        <w:jc w:val="both"/>
        <w:spacing w:line="276" w:lineRule="auto"/>
        <w:rPr>
          <w:rFonts w:eastAsia="Calibri"/>
          <w:sz w:val="28"/>
          <w:szCs w:val="28"/>
          <w:highlight w:val="none"/>
          <w:lang w:eastAsia="en-US"/>
        </w:rPr>
      </w:pPr>
      <w:r>
        <w:rPr>
          <w:rFonts w:eastAsia="Calibri"/>
          <w:sz w:val="28"/>
          <w:szCs w:val="28"/>
          <w:highlight w:val="none"/>
          <w:lang w:eastAsia="en-US"/>
        </w:rPr>
        <w:t xml:space="preserve">4.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Руководителям государственных образовательных организаций, </w:t>
      </w:r>
      <w:r>
        <w:rPr>
          <w:rFonts w:ascii="Times New Roman" w:hAnsi="Times New Roman" w:cs="Times New Roman"/>
          <w:color w:val="auto"/>
          <w:sz w:val="28"/>
          <w:szCs w:val="28"/>
          <w:lang w:bidi="ru-RU"/>
        </w:rPr>
        <w:t xml:space="preserve">находящихся в ведении Департамента (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Г.К. Хидирлясов, М.Н. Наумов,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А.В. Жуков,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С.Ю. Платонова</w:t>
      </w:r>
      <w:r>
        <w:rPr>
          <w:rFonts w:ascii="Times New Roman" w:hAnsi="Times New Roman" w:cs="Times New Roman"/>
          <w:color w:val="auto"/>
          <w:sz w:val="28"/>
          <w:szCs w:val="28"/>
          <w:lang w:bidi="ru-RU"/>
        </w:rPr>
        <w:t xml:space="preserve">) обеспечить выполнение пункта 3 в части касающейся.</w:t>
      </w:r>
      <w:r>
        <w:rPr>
          <w:rFonts w:eastAsia="Calibri"/>
          <w:sz w:val="28"/>
          <w:szCs w:val="28"/>
          <w:highlight w:val="none"/>
          <w:lang w:eastAsia="en-US"/>
        </w:rPr>
      </w:r>
      <w:r/>
    </w:p>
    <w:p>
      <w:pPr>
        <w:ind w:left="0" w:right="0" w:firstLine="992"/>
        <w:jc w:val="both"/>
        <w:spacing w:line="276" w:lineRule="auto"/>
        <w:rPr>
          <w:rFonts w:eastAsia="Calibri"/>
          <w:sz w:val="28"/>
          <w:szCs w:val="28"/>
          <w:highlight w:val="none"/>
          <w:lang w:eastAsia="en-US"/>
        </w:rPr>
      </w:pPr>
      <w:r>
        <w:rPr>
          <w:rFonts w:eastAsia="Calibri"/>
          <w:sz w:val="28"/>
          <w:szCs w:val="28"/>
          <w:highlight w:val="none"/>
          <w:lang w:eastAsia="en-US"/>
        </w:rPr>
        <w:t xml:space="preserve">5. Установить срок подачи апелляции о несогласии с выставленными баллами по результатам ГИА-9 в форме КОГЭ по учебному предмету «информатика», </w:t>
      </w:r>
      <w:r>
        <w:rPr>
          <w:sz w:val="28"/>
          <w:szCs w:val="28"/>
        </w:rPr>
        <w:t xml:space="preserve">в форме ОГЭ по учебным предметам «биология», «литература», «физика», в форме ГВЭ по учебному предмету «литература»</w:t>
      </w:r>
      <w:r>
        <w:rPr>
          <w:sz w:val="28"/>
          <w:szCs w:val="28"/>
        </w:rPr>
        <w:t xml:space="preserve">,</w:t>
      </w:r>
      <w:r>
        <w:rPr>
          <w:rFonts w:eastAsia="Calibri"/>
          <w:sz w:val="28"/>
          <w:szCs w:val="28"/>
          <w:highlight w:val="none"/>
          <w:lang w:eastAsia="en-US"/>
        </w:rPr>
        <w:t xml:space="preserve"> полученными участниками экзамена в основной день основного периода в 2024 году, до 17.00 часов 24</w:t>
      </w:r>
      <w:r>
        <w:rPr>
          <w:rFonts w:eastAsia="Calibri"/>
          <w:sz w:val="28"/>
          <w:szCs w:val="28"/>
          <w:highlight w:val="none"/>
          <w:lang w:eastAsia="en-US"/>
        </w:rPr>
        <w:t xml:space="preserve"> июня  2024 года.</w:t>
      </w:r>
      <w:r>
        <w:rPr>
          <w:rFonts w:eastAsia="Calibri"/>
          <w:sz w:val="28"/>
          <w:szCs w:val="28"/>
          <w:highlight w:val="none"/>
          <w:lang w:eastAsia="en-US"/>
        </w:rPr>
      </w:r>
      <w:r/>
    </w:p>
    <w:p>
      <w:pPr>
        <w:ind w:left="0" w:right="0" w:firstLine="992"/>
        <w:jc w:val="both"/>
        <w:spacing w:line="276" w:lineRule="auto"/>
        <w:rPr>
          <w:rFonts w:eastAsia="Calibri"/>
          <w:sz w:val="28"/>
          <w:szCs w:val="28"/>
          <w:highlight w:val="none"/>
          <w:lang w:eastAsia="en-US"/>
        </w:rPr>
      </w:pPr>
      <w:r>
        <w:rPr>
          <w:rFonts w:eastAsia="Calibri"/>
          <w:sz w:val="28"/>
          <w:szCs w:val="28"/>
          <w:highlight w:val="none"/>
          <w:lang w:eastAsia="en-US"/>
        </w:rPr>
        <w:t xml:space="preserve">6. Автономному учрежд</w:t>
      </w:r>
      <w:r>
        <w:rPr>
          <w:rFonts w:eastAsia="Calibri"/>
          <w:sz w:val="28"/>
          <w:szCs w:val="28"/>
          <w:highlight w:val="none"/>
          <w:lang w:eastAsia="en-US"/>
        </w:rPr>
        <w:t xml:space="preserve">ению дополнительного профессионального образования Ханты-Мансийского автономного </w:t>
        <w:br/>
      </w:r>
      <w:r>
        <w:rPr>
          <w:rFonts w:eastAsia="Calibri"/>
          <w:sz w:val="28"/>
          <w:szCs w:val="28"/>
          <w:highlight w:val="none"/>
          <w:lang w:eastAsia="en-US"/>
        </w:rPr>
        <w:t xml:space="preserve">округа – Югры «Институт развития образования» – организации, уполномоченной осуществлять функции Регионального центра обработки информации (В.В. Клюсова), обеспечить передачу:</w:t>
      </w:r>
      <w:r>
        <w:rPr>
          <w:rFonts w:eastAsia="Calibri"/>
          <w:sz w:val="28"/>
          <w:szCs w:val="28"/>
          <w:highlight w:val="none"/>
          <w:lang w:eastAsia="en-US"/>
        </w:rPr>
      </w:r>
      <w:r/>
    </w:p>
    <w:p>
      <w:pPr>
        <w:ind w:left="0" w:right="0" w:firstLine="992"/>
        <w:jc w:val="both"/>
        <w:spacing w:line="276" w:lineRule="auto"/>
        <w:rPr>
          <w:rFonts w:eastAsia="Calibri"/>
          <w:sz w:val="28"/>
          <w:szCs w:val="28"/>
          <w:highlight w:val="none"/>
          <w:lang w:eastAsia="en-US"/>
        </w:rPr>
      </w:pPr>
      <w:r>
        <w:rPr>
          <w:rFonts w:eastAsia="Calibri"/>
          <w:sz w:val="28"/>
          <w:szCs w:val="28"/>
          <w:highlight w:val="none"/>
          <w:lang w:eastAsia="en-US"/>
        </w:rPr>
        <w:t xml:space="preserve">6.1. Протоколов проверки результатов участников ГИА-9 в форме КОГЭ по учебному предмету «информатика», </w:t>
      </w:r>
      <w:r>
        <w:rPr>
          <w:sz w:val="28"/>
          <w:szCs w:val="28"/>
        </w:rPr>
        <w:t xml:space="preserve">в форме ОГЭ по учебным предметам «биология», «литература», «физика», в форме ГВЭ по учебному предмету «литература»</w:t>
      </w:r>
      <w:r/>
      <w:r>
        <w:rPr>
          <w:rFonts w:eastAsia="Calibri"/>
          <w:sz w:val="28"/>
          <w:szCs w:val="28"/>
          <w:highlight w:val="none"/>
          <w:lang w:eastAsia="en-US"/>
        </w:rPr>
      </w:r>
      <w:r>
        <w:rPr>
          <w:rFonts w:eastAsia="Calibri"/>
          <w:sz w:val="28"/>
          <w:szCs w:val="28"/>
          <w:highlight w:val="none"/>
          <w:lang w:eastAsia="en-US"/>
        </w:rPr>
        <w:t xml:space="preserve"> в основной день основного периода в 2024 году по защищенным каналам связи в </w:t>
      </w:r>
      <w:r>
        <w:rPr>
          <w:sz w:val="28"/>
          <w:szCs w:val="28"/>
        </w:rPr>
        <w:t xml:space="preserve">органы местного самоуправления муниципальных образований Ханты-Мансийского автономного округа – Югры, осуществляющие управление в сфере образования</w:t>
      </w:r>
      <w:r>
        <w:rPr>
          <w:sz w:val="28"/>
          <w:szCs w:val="28"/>
          <w:highlight w:val="none"/>
        </w:rPr>
        <w:t xml:space="preserve">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руководителям государственных образовательных организаций</w:t>
      </w:r>
      <w:r>
        <w:rPr>
          <w:rFonts w:eastAsia="Calibri"/>
          <w:sz w:val="28"/>
          <w:szCs w:val="28"/>
          <w:highlight w:val="none"/>
          <w:lang w:eastAsia="en-US"/>
        </w:rPr>
        <w:t xml:space="preserve">.</w:t>
      </w:r>
      <w:r/>
    </w:p>
    <w:p>
      <w:pPr>
        <w:ind w:left="0" w:right="0" w:firstLine="992"/>
        <w:jc w:val="both"/>
        <w:spacing w:line="276" w:lineRule="auto"/>
        <w:rPr>
          <w:rFonts w:eastAsia="Calibri"/>
          <w:sz w:val="28"/>
          <w:szCs w:val="28"/>
          <w:highlight w:val="none"/>
          <w:lang w:eastAsia="en-US"/>
        </w:rPr>
      </w:pPr>
      <w:r>
        <w:rPr>
          <w:rFonts w:eastAsia="Calibri"/>
          <w:sz w:val="28"/>
          <w:szCs w:val="28"/>
          <w:highlight w:val="none"/>
          <w:lang w:eastAsia="en-US"/>
        </w:rPr>
        <w:t xml:space="preserve">6.2. Протоколов проверки результатов участников ГИА-9 в форме КОГЭ по учебному предмету «информатика», </w:t>
      </w:r>
      <w:r>
        <w:rPr>
          <w:sz w:val="28"/>
          <w:szCs w:val="28"/>
        </w:rPr>
      </w:r>
      <w:r>
        <w:rPr>
          <w:sz w:val="28"/>
          <w:szCs w:val="28"/>
        </w:rPr>
        <w:t xml:space="preserve">в форме ОГЭ по учебным предметам «биология», «литература», «физика» в форме ГВЭ по учебному предмету «литература»</w:t>
      </w:r>
      <w:r/>
      <w:r>
        <w:rPr>
          <w:sz w:val="28"/>
          <w:szCs w:val="28"/>
        </w:rPr>
        <w:t xml:space="preserve">,</w:t>
      </w:r>
      <w:r>
        <w:rPr>
          <w:rFonts w:eastAsia="Calibri"/>
          <w:sz w:val="28"/>
          <w:szCs w:val="28"/>
          <w:highlight w:val="none"/>
          <w:lang w:eastAsia="en-US"/>
        </w:rPr>
        <w:t xml:space="preserve"> утвержденных п</w:t>
      </w:r>
      <w:r>
        <w:rPr>
          <w:rFonts w:eastAsia="Calibri"/>
          <w:sz w:val="28"/>
          <w:szCs w:val="28"/>
          <w:highlight w:val="none"/>
          <w:lang w:eastAsia="en-US"/>
        </w:rPr>
        <w:t xml:space="preserve">унктом 1</w:t>
      </w:r>
      <w:r>
        <w:rPr>
          <w:rFonts w:eastAsia="Calibri"/>
          <w:sz w:val="28"/>
          <w:szCs w:val="28"/>
          <w:highlight w:val="none"/>
          <w:lang w:eastAsia="en-US"/>
        </w:rPr>
        <w:t xml:space="preserve"> настоящего приказа, в отдел адаптированных образовательных программ и итоговой аттестации Управления общего  образования Департамента образования и науки Ханты-Мансийского автономного  не позднее 17.00 часов 19 июня 2024 года.</w:t>
      </w:r>
      <w:r>
        <w:rPr>
          <w:rFonts w:eastAsia="Calibri"/>
          <w:sz w:val="28"/>
          <w:szCs w:val="28"/>
          <w:highlight w:val="none"/>
          <w:lang w:eastAsia="en-US"/>
        </w:rPr>
      </w:r>
      <w:r/>
    </w:p>
    <w:p>
      <w:pPr>
        <w:ind w:left="0" w:right="0" w:firstLine="992"/>
        <w:jc w:val="both"/>
        <w:spacing w:line="276" w:lineRule="auto"/>
        <w:rPr>
          <w:rFonts w:eastAsia="Calibri"/>
          <w:sz w:val="28"/>
          <w:szCs w:val="28"/>
          <w:highlight w:val="none"/>
          <w:lang w:eastAsia="en-US"/>
        </w:rPr>
      </w:pPr>
      <w:r>
        <w:rPr>
          <w:rFonts w:eastAsia="Calibri"/>
          <w:sz w:val="28"/>
          <w:szCs w:val="28"/>
          <w:highlight w:val="none"/>
          <w:lang w:eastAsia="en-US"/>
        </w:rPr>
        <w:t xml:space="preserve">7. Административно-ресурсному отделу Административного управления Департамента </w:t>
      </w:r>
      <w:r>
        <w:rPr>
          <w:rFonts w:eastAsia="Calibri"/>
          <w:sz w:val="28"/>
          <w:szCs w:val="28"/>
          <w:highlight w:val="none"/>
          <w:lang w:eastAsia="en-US"/>
        </w:rPr>
        <w:t xml:space="preserve">образования и науки Ханты-Мансийского автономного ок</w:t>
      </w:r>
      <w:r>
        <w:rPr>
          <w:rFonts w:eastAsia="Calibri"/>
          <w:sz w:val="28"/>
          <w:szCs w:val="28"/>
          <w:highlight w:val="none"/>
          <w:lang w:eastAsia="en-US"/>
        </w:rPr>
        <w:t xml:space="preserve">руга – Югры обеспечить рассылку настоящего приказа, за исключением протоколов проверки результатов участников ГИА-9 в форме КОГЭ, по учебному предмету «информатика»,</w:t>
      </w:r>
      <w:r>
        <w:rPr>
          <w:rFonts w:eastAsia="Calibri"/>
          <w:sz w:val="28"/>
          <w:szCs w:val="28"/>
          <w:highlight w:val="none"/>
          <w:lang w:eastAsia="en-US"/>
        </w:rPr>
      </w:r>
      <w:r>
        <w:rPr>
          <w:sz w:val="28"/>
          <w:szCs w:val="28"/>
        </w:rPr>
        <w:t xml:space="preserve"> в форме ОГЭ по учебным предметам «биология», «литература», «физика», в форме ГВЭ по учебному предмету «литература»</w:t>
      </w:r>
      <w:r>
        <w:rPr>
          <w:rFonts w:eastAsia="Calibri"/>
          <w:sz w:val="28"/>
          <w:szCs w:val="28"/>
          <w:highlight w:val="none"/>
          <w:lang w:eastAsia="en-US"/>
        </w:rPr>
        <w:t xml:space="preserve">,</w:t>
      </w:r>
      <w:r>
        <w:rPr>
          <w:rFonts w:eastAsia="Calibri"/>
          <w:sz w:val="28"/>
          <w:szCs w:val="28"/>
          <w:highlight w:val="none"/>
          <w:lang w:eastAsia="en-US"/>
        </w:rPr>
        <w:t xml:space="preserve"> утвержденных пунктом 1</w:t>
      </w:r>
      <w:r>
        <w:rPr>
          <w:rFonts w:eastAsia="Calibri"/>
          <w:sz w:val="28"/>
          <w:szCs w:val="28"/>
          <w:highlight w:val="none"/>
          <w:lang w:eastAsia="en-US"/>
        </w:rPr>
        <w:t xml:space="preserve"> настоящего приказа.</w:t>
      </w:r>
      <w:r>
        <w:rPr>
          <w:rFonts w:eastAsia="Calibri"/>
          <w:sz w:val="28"/>
          <w:szCs w:val="28"/>
          <w:highlight w:val="none"/>
          <w:lang w:eastAsia="en-US"/>
        </w:rPr>
      </w:r>
      <w:r/>
    </w:p>
    <w:p>
      <w:pPr>
        <w:ind w:left="0" w:right="0" w:firstLine="992"/>
        <w:jc w:val="both"/>
        <w:spacing w:line="276" w:lineRule="auto"/>
        <w:rPr>
          <w:rFonts w:eastAsia="Calibri"/>
          <w:sz w:val="28"/>
          <w:szCs w:val="28"/>
          <w:highlight w:val="none"/>
          <w:lang w:eastAsia="en-US"/>
        </w:rPr>
      </w:pPr>
      <w:r>
        <w:rPr>
          <w:rFonts w:eastAsia="Calibri"/>
          <w:sz w:val="28"/>
          <w:szCs w:val="28"/>
          <w:highlight w:val="none"/>
          <w:lang w:eastAsia="en-US"/>
        </w:rPr>
        <w:t xml:space="preserve">8. Контроль исполнения настоящего приказа возложить на заместителя директора Департамента образования и науки  Ханты-Мансийского автономного округа – Югры И.В. Святченко.</w:t>
      </w:r>
      <w:r>
        <w:rPr>
          <w:rFonts w:eastAsia="Calibri"/>
          <w:sz w:val="28"/>
          <w:szCs w:val="28"/>
          <w:highlight w:val="none"/>
          <w:lang w:eastAsia="en-US"/>
        </w:rPr>
      </w:r>
      <w:r/>
    </w:p>
    <w:p>
      <w:pPr>
        <w:ind w:left="0" w:right="0" w:firstLine="992"/>
        <w:jc w:val="both"/>
        <w:spacing w:line="276" w:lineRule="auto"/>
        <w:rPr>
          <w:rFonts w:eastAsia="Calibri"/>
          <w:sz w:val="28"/>
          <w:szCs w:val="28"/>
          <w:highlight w:val="none"/>
          <w:lang w:eastAsia="en-US"/>
        </w:rPr>
      </w:pPr>
      <w:r>
        <w:rPr>
          <w:rFonts w:eastAsia="Calibri"/>
          <w:sz w:val="28"/>
          <w:szCs w:val="28"/>
          <w:highlight w:val="none"/>
          <w:lang w:eastAsia="en-US"/>
        </w:rPr>
      </w:r>
      <w:r>
        <w:rPr>
          <w:rFonts w:eastAsia="Calibri"/>
          <w:sz w:val="28"/>
          <w:szCs w:val="28"/>
          <w:highlight w:val="none"/>
          <w:lang w:eastAsia="en-US"/>
        </w:rPr>
      </w:r>
      <w:r/>
    </w:p>
    <w:tbl>
      <w:tblPr>
        <w:tblW w:w="924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51"/>
        <w:gridCol w:w="3930"/>
        <w:gridCol w:w="2067"/>
      </w:tblGrid>
      <w:tr>
        <w:trPr>
          <w:trHeight w:val="2122"/>
        </w:trPr>
        <w:tc>
          <w:tcPr>
            <w:shd w:val="clear" w:color="ffffff" w:fill="ffffff"/>
            <w:tcW w:w="3251" w:type="dxa"/>
            <w:textDirection w:val="lrTb"/>
            <w:noWrap w:val="false"/>
          </w:tcPr>
          <w:p>
            <w:pPr>
              <w:spacing w:line="276" w:lineRule="auto"/>
              <w:tabs>
                <w:tab w:val="right" w:pos="3113" w:leader="none"/>
              </w:tabs>
              <w:rPr>
                <w:rFonts w:eastAsia="Calibri"/>
              </w:rPr>
            </w:pPr>
            <w:r>
              <w:rPr>
                <w:sz w:val="28"/>
                <w:szCs w:val="28"/>
              </w:rPr>
              <w:t xml:space="preserve">Директор Департамента</w:t>
            </w:r>
            <w:r>
              <w:rPr>
                <w:rFonts w:eastAsia="Calibri"/>
              </w:rPr>
            </w:r>
            <w:r/>
          </w:p>
        </w:tc>
        <w:tc>
          <w:tcPr>
            <w:shd w:val="clear" w:color="ffffff" w:fill="ffffff"/>
            <w:tcW w:w="3930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W w:w="2067" w:type="dxa"/>
            <w:textDirection w:val="lrTb"/>
            <w:noWrap w:val="false"/>
          </w:tcPr>
          <w:p>
            <w:pPr>
              <w:jc w:val="right"/>
              <w:spacing w:line="276" w:lineRule="auto"/>
              <w:rPr>
                <w:rFonts w:eastAsia="Calibri"/>
              </w:rPr>
            </w:pPr>
            <w:r>
              <w:rPr>
                <w:sz w:val="28"/>
                <w:szCs w:val="28"/>
              </w:rPr>
              <w:t xml:space="preserve">А.А. Дренин</w:t>
            </w:r>
            <w:r>
              <w:rPr>
                <w:rFonts w:eastAsia="Calibri"/>
              </w:rPr>
            </w:r>
            <w:r/>
          </w:p>
        </w:tc>
      </w:tr>
    </w:tbl>
    <w:p>
      <w:pPr>
        <w:ind w:firstLine="709"/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</w:r>
      <w:r/>
    </w:p>
    <w:sectPr>
      <w:headerReference w:type="default" r:id="rId9"/>
      <w:headerReference w:type="even" r:id="rId10"/>
      <w:footnotePr/>
      <w:endnotePr/>
      <w:type w:val="nextPage"/>
      <w:pgSz w:w="11906" w:h="16838" w:orient="portrait"/>
      <w:pgMar w:top="993" w:right="1274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Symbol">
    <w:panose1 w:val="05050102010706020507"/>
  </w:font>
  <w:font w:name="Courier New">
    <w:panose1 w:val="02070309020205020404"/>
  </w:font>
  <w:font w:name="Sylfaen">
    <w:panose1 w:val="010A0502050306030303"/>
  </w:font>
  <w:font w:name="Verdana">
    <w:panose1 w:val="020B06040305040402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365483929"/>
      <w:docPartObj>
        <w:docPartGallery w:val="Page Numbers (Top of Page)"/>
        <w:docPartUnique w:val="true"/>
      </w:docPartObj>
      <w:rPr/>
    </w:sdtPr>
    <w:sdtContent>
      <w:p>
        <w:pPr>
          <w:pStyle w:val="90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4</w:t>
        </w:r>
        <w:r>
          <w:fldChar w:fldCharType="end"/>
        </w:r>
        <w:r/>
      </w:p>
    </w:sdtContent>
  </w:sdt>
  <w:p>
    <w:pPr>
      <w:pStyle w:val="905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5"/>
      <w:rPr>
        <w:rStyle w:val="912"/>
      </w:rPr>
      <w:framePr w:wrap="around" w:vAnchor="text" w:hAnchor="margin" w:xAlign="center" w:y="1"/>
    </w:pPr>
    <w:r>
      <w:rPr>
        <w:rStyle w:val="912"/>
      </w:rPr>
      <w:fldChar w:fldCharType="begin"/>
    </w:r>
    <w:r>
      <w:rPr>
        <w:rStyle w:val="912"/>
      </w:rPr>
      <w:instrText xml:space="preserve">PAGE  </w:instrText>
    </w:r>
    <w:r>
      <w:rPr>
        <w:rStyle w:val="912"/>
      </w:rPr>
      <w:fldChar w:fldCharType="end"/>
    </w:r>
    <w:r/>
  </w:p>
  <w:p>
    <w:pPr>
      <w:pStyle w:val="905"/>
      <w:ind w:right="36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390" w:hanging="390"/>
      </w:pPr>
      <w:rPr>
        <w:rFonts w:hint="default"/>
        <w:b w:val="0"/>
        <w:color w:val="000000"/>
      </w:rPr>
    </w:lvl>
    <w:lvl w:ilvl="1">
      <w:start w:val="5"/>
      <w:numFmt w:val="decimal"/>
      <w:isLgl w:val="false"/>
      <w:suff w:val="tab"/>
      <w:lvlText w:val="%1.%2."/>
      <w:lvlJc w:val="left"/>
      <w:pPr>
        <w:ind w:left="1571" w:hanging="720"/>
      </w:pPr>
      <w:rPr>
        <w:rFonts w:hint="default"/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771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9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01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3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5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7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9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61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31" w:hanging="180"/>
      </w:pPr>
    </w:lvl>
  </w:abstractNum>
  <w:abstractNum w:abstractNumId="3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675" w:hanging="675"/>
      </w:pPr>
      <w:rPr>
        <w:rFonts w:hint="default"/>
        <w:b w:val="0"/>
        <w:color w:val="000000"/>
      </w:rPr>
    </w:lvl>
    <w:lvl w:ilvl="1">
      <w:start w:val="1"/>
      <w:numFmt w:val="decimal"/>
      <w:isLgl w:val="false"/>
      <w:suff w:val="tab"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960" w:hanging="1800"/>
      </w:pPr>
      <w:rPr>
        <w:rFonts w:hint="default"/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5040" w:hanging="2160"/>
      </w:pPr>
      <w:rPr>
        <w:rFonts w:hint="default"/>
        <w:color w:val="000000"/>
      </w:rPr>
    </w:lvl>
  </w:abstractNum>
  <w:abstractNum w:abstractNumId="4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isLgl w:val="false"/>
      <w:suff w:val="tab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multiLevelType w:val="hybridMultilevel"/>
    <w:lvl w:ilvl="0">
      <w:start w:val="10"/>
      <w:numFmt w:val="decimal"/>
      <w:isLgl w:val="false"/>
      <w:suff w:val="tab"/>
      <w:lvlText w:val="%1."/>
      <w:lvlJc w:val="left"/>
      <w:pPr>
        <w:ind w:left="525" w:hanging="525"/>
      </w:pPr>
      <w:rPr>
        <w:rFonts w:hint="default"/>
        <w:color w:val="000000"/>
      </w:r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isLgl w:val="false"/>
      <w:suff w:val="tab"/>
      <w:lvlText w:val="%1.%2."/>
      <w:lvlJc w:val="left"/>
      <w:pPr>
        <w:ind w:left="792" w:hanging="432"/>
      </w:pPr>
      <w:rPr>
        <w:b w:val="0"/>
        <w:sz w:val="28"/>
        <w:szCs w:val="28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  <w:rPr>
        <w:b w:val="0"/>
        <w:i w:val="0"/>
        <w:sz w:val="28"/>
        <w:szCs w:val="28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  <w:b w:val="0"/>
        <w:color w:val="000000"/>
      </w:rPr>
    </w:lvl>
    <w:lvl w:ilvl="1">
      <w:start w:val="1"/>
      <w:numFmt w:val="decimal"/>
      <w:isLgl w:val="false"/>
      <w:suff w:val="tab"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abstractNum w:abstractNumId="9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585" w:hanging="585"/>
      </w:pPr>
      <w:rPr>
        <w:rFonts w:hint="default"/>
        <w:b w:val="0"/>
      </w:rPr>
    </w:lvl>
    <w:lvl w:ilvl="1">
      <w:start w:val="2"/>
      <w:numFmt w:val="decimal"/>
      <w:isLgl w:val="false"/>
      <w:suff w:val="tab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 w:ascii="Times New Roman" w:hAnsi="Times New Roman" w:cs="Times New Roman"/>
        <w:sz w:val="20"/>
        <w:szCs w:val="2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8"/>
  </w:num>
  <w:num w:numId="5">
    <w:abstractNumId w:val="1"/>
  </w:num>
  <w:num w:numId="6">
    <w:abstractNumId w:val="9"/>
  </w:num>
  <w:num w:numId="7">
    <w:abstractNumId w:val="5"/>
  </w:num>
  <w:num w:numId="8">
    <w:abstractNumId w:val="3"/>
  </w:num>
  <w:num w:numId="9">
    <w:abstractNumId w:val="4"/>
  </w:num>
  <w:num w:numId="10">
    <w:abstractNumId w:val="6"/>
  </w:num>
  <w:num w:numId="11">
    <w:abstractNumId w:val="2"/>
  </w:num>
  <w:num w:numId="12">
    <w:abstractNumId w:val="7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14">
    <w:name w:val="Heading 1 Char"/>
    <w:basedOn w:val="884"/>
    <w:link w:val="878"/>
    <w:uiPriority w:val="9"/>
    <w:rPr>
      <w:rFonts w:ascii="Arial" w:hAnsi="Arial" w:eastAsia="Arial" w:cs="Arial"/>
      <w:sz w:val="40"/>
      <w:szCs w:val="40"/>
    </w:rPr>
  </w:style>
  <w:style w:type="character" w:styleId="715">
    <w:name w:val="Heading 2 Char"/>
    <w:basedOn w:val="884"/>
    <w:link w:val="879"/>
    <w:uiPriority w:val="9"/>
    <w:rPr>
      <w:rFonts w:ascii="Arial" w:hAnsi="Arial" w:eastAsia="Arial" w:cs="Arial"/>
      <w:sz w:val="34"/>
    </w:rPr>
  </w:style>
  <w:style w:type="character" w:styleId="716">
    <w:name w:val="Heading 3 Char"/>
    <w:basedOn w:val="884"/>
    <w:link w:val="880"/>
    <w:uiPriority w:val="9"/>
    <w:rPr>
      <w:rFonts w:ascii="Arial" w:hAnsi="Arial" w:eastAsia="Arial" w:cs="Arial"/>
      <w:sz w:val="30"/>
      <w:szCs w:val="30"/>
    </w:rPr>
  </w:style>
  <w:style w:type="character" w:styleId="717">
    <w:name w:val="Heading 4 Char"/>
    <w:basedOn w:val="884"/>
    <w:link w:val="881"/>
    <w:uiPriority w:val="9"/>
    <w:rPr>
      <w:rFonts w:ascii="Arial" w:hAnsi="Arial" w:eastAsia="Arial" w:cs="Arial"/>
      <w:b/>
      <w:bCs/>
      <w:sz w:val="26"/>
      <w:szCs w:val="26"/>
    </w:rPr>
  </w:style>
  <w:style w:type="character" w:styleId="718">
    <w:name w:val="Heading 5 Char"/>
    <w:basedOn w:val="884"/>
    <w:link w:val="882"/>
    <w:uiPriority w:val="9"/>
    <w:rPr>
      <w:rFonts w:ascii="Arial" w:hAnsi="Arial" w:eastAsia="Arial" w:cs="Arial"/>
      <w:b/>
      <w:bCs/>
      <w:sz w:val="24"/>
      <w:szCs w:val="24"/>
    </w:rPr>
  </w:style>
  <w:style w:type="paragraph" w:styleId="719">
    <w:name w:val="Heading 6"/>
    <w:basedOn w:val="877"/>
    <w:next w:val="877"/>
    <w:link w:val="720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20">
    <w:name w:val="Heading 6 Char"/>
    <w:basedOn w:val="884"/>
    <w:link w:val="719"/>
    <w:uiPriority w:val="9"/>
    <w:rPr>
      <w:rFonts w:ascii="Arial" w:hAnsi="Arial" w:eastAsia="Arial" w:cs="Arial"/>
      <w:b/>
      <w:bCs/>
      <w:sz w:val="22"/>
      <w:szCs w:val="22"/>
    </w:rPr>
  </w:style>
  <w:style w:type="character" w:styleId="721">
    <w:name w:val="Heading 7 Char"/>
    <w:basedOn w:val="884"/>
    <w:link w:val="88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22">
    <w:name w:val="Heading 8"/>
    <w:basedOn w:val="877"/>
    <w:next w:val="877"/>
    <w:link w:val="72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23">
    <w:name w:val="Heading 8 Char"/>
    <w:basedOn w:val="884"/>
    <w:link w:val="722"/>
    <w:uiPriority w:val="9"/>
    <w:rPr>
      <w:rFonts w:ascii="Arial" w:hAnsi="Arial" w:eastAsia="Arial" w:cs="Arial"/>
      <w:i/>
      <w:iCs/>
      <w:sz w:val="22"/>
      <w:szCs w:val="22"/>
    </w:rPr>
  </w:style>
  <w:style w:type="paragraph" w:styleId="724">
    <w:name w:val="Heading 9"/>
    <w:basedOn w:val="877"/>
    <w:next w:val="877"/>
    <w:link w:val="72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25">
    <w:name w:val="Heading 9 Char"/>
    <w:basedOn w:val="884"/>
    <w:link w:val="724"/>
    <w:uiPriority w:val="9"/>
    <w:rPr>
      <w:rFonts w:ascii="Arial" w:hAnsi="Arial" w:eastAsia="Arial" w:cs="Arial"/>
      <w:i/>
      <w:iCs/>
      <w:sz w:val="21"/>
      <w:szCs w:val="21"/>
    </w:rPr>
  </w:style>
  <w:style w:type="character" w:styleId="726">
    <w:name w:val="Title Char"/>
    <w:basedOn w:val="884"/>
    <w:link w:val="899"/>
    <w:uiPriority w:val="10"/>
    <w:rPr>
      <w:sz w:val="48"/>
      <w:szCs w:val="48"/>
    </w:rPr>
  </w:style>
  <w:style w:type="paragraph" w:styleId="727">
    <w:name w:val="Subtitle"/>
    <w:basedOn w:val="877"/>
    <w:next w:val="877"/>
    <w:link w:val="728"/>
    <w:uiPriority w:val="11"/>
    <w:qFormat/>
    <w:pPr>
      <w:spacing w:before="200" w:after="200"/>
    </w:pPr>
    <w:rPr>
      <w:sz w:val="24"/>
      <w:szCs w:val="24"/>
    </w:rPr>
  </w:style>
  <w:style w:type="character" w:styleId="728">
    <w:name w:val="Subtitle Char"/>
    <w:basedOn w:val="884"/>
    <w:link w:val="727"/>
    <w:uiPriority w:val="11"/>
    <w:rPr>
      <w:sz w:val="24"/>
      <w:szCs w:val="24"/>
    </w:rPr>
  </w:style>
  <w:style w:type="paragraph" w:styleId="729">
    <w:name w:val="Quote"/>
    <w:basedOn w:val="877"/>
    <w:next w:val="877"/>
    <w:link w:val="730"/>
    <w:uiPriority w:val="29"/>
    <w:qFormat/>
    <w:pPr>
      <w:ind w:left="720" w:right="720"/>
    </w:pPr>
    <w:rPr>
      <w:i/>
    </w:rPr>
  </w:style>
  <w:style w:type="character" w:styleId="730">
    <w:name w:val="Quote Char"/>
    <w:link w:val="729"/>
    <w:uiPriority w:val="29"/>
    <w:rPr>
      <w:i/>
    </w:rPr>
  </w:style>
  <w:style w:type="paragraph" w:styleId="731">
    <w:name w:val="Intense Quote"/>
    <w:basedOn w:val="877"/>
    <w:next w:val="877"/>
    <w:link w:val="732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32">
    <w:name w:val="Intense Quote Char"/>
    <w:link w:val="731"/>
    <w:uiPriority w:val="30"/>
    <w:rPr>
      <w:i/>
    </w:rPr>
  </w:style>
  <w:style w:type="character" w:styleId="733">
    <w:name w:val="Header Char"/>
    <w:basedOn w:val="884"/>
    <w:link w:val="905"/>
    <w:uiPriority w:val="99"/>
  </w:style>
  <w:style w:type="character" w:styleId="734">
    <w:name w:val="Footer Char"/>
    <w:basedOn w:val="884"/>
    <w:link w:val="906"/>
    <w:uiPriority w:val="99"/>
  </w:style>
  <w:style w:type="paragraph" w:styleId="735">
    <w:name w:val="Caption"/>
    <w:basedOn w:val="877"/>
    <w:next w:val="87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36">
    <w:name w:val="Caption Char"/>
    <w:basedOn w:val="735"/>
    <w:link w:val="906"/>
    <w:uiPriority w:val="99"/>
  </w:style>
  <w:style w:type="table" w:styleId="737">
    <w:name w:val="Table Grid Light"/>
    <w:basedOn w:val="88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8">
    <w:name w:val="Plain Table 1"/>
    <w:basedOn w:val="88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9">
    <w:name w:val="Plain Table 2"/>
    <w:basedOn w:val="88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0">
    <w:name w:val="Plain Table 3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1">
    <w:name w:val="Plain Table 4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Plain Table 5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43">
    <w:name w:val="Grid Table 1 Light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Grid Table 1 Light - Accent 1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Grid Table 1 Light - Accent 2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Grid Table 1 Light - Accent 3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Grid Table 1 Light - Accent 4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Grid Table 1 Light - Accent 5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Grid Table 1 Light - Accent 6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Grid Table 2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2 - Accent 1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2 - Accent 2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2 - Accent 3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2 - Accent 4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2 - Accent 5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2 - Accent 6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3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3 - Accent 1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3 - Accent 2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3 - Accent 3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3 - Accent 4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3 - Accent 5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Grid Table 3 - Accent 6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Grid Table 4"/>
    <w:basedOn w:val="88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5">
    <w:name w:val="Grid Table 4 - Accent 1"/>
    <w:basedOn w:val="88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6">
    <w:name w:val="Grid Table 4 - Accent 2"/>
    <w:basedOn w:val="88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67">
    <w:name w:val="Grid Table 4 - Accent 3"/>
    <w:basedOn w:val="88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68">
    <w:name w:val="Grid Table 4 - Accent 4"/>
    <w:basedOn w:val="88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69">
    <w:name w:val="Grid Table 4 - Accent 5"/>
    <w:basedOn w:val="88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70">
    <w:name w:val="Grid Table 4 - Accent 6"/>
    <w:basedOn w:val="88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71">
    <w:name w:val="Grid Table 5 Dark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72">
    <w:name w:val="Grid Table 5 Dark- Accent 1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73">
    <w:name w:val="Grid Table 5 Dark - Accent 2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74">
    <w:name w:val="Grid Table 5 Dark - Accent 3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75">
    <w:name w:val="Grid Table 5 Dark- Accent 4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76">
    <w:name w:val="Grid Table 5 Dark - Accent 5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77">
    <w:name w:val="Grid Table 5 Dark - Accent 6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78">
    <w:name w:val="Grid Table 6 Colorful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79">
    <w:name w:val="Grid Table 6 Colorful - Accent 1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80">
    <w:name w:val="Grid Table 6 Colorful - Accent 2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81">
    <w:name w:val="Grid Table 6 Colorful - Accent 3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82">
    <w:name w:val="Grid Table 6 Colorful - Accent 4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83">
    <w:name w:val="Grid Table 6 Colorful - Accent 5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4">
    <w:name w:val="Grid Table 6 Colorful - Accent 6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5">
    <w:name w:val="Grid Table 7 Colorful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Grid Table 7 Colorful - Accent 1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Grid Table 7 Colorful - Accent 2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Grid Table 7 Colorful - Accent 3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Grid Table 7 Colorful - Accent 4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Grid Table 7 Colorful - Accent 5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Grid Table 7 Colorful - Accent 6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List Table 1 Light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List Table 1 Light - Accent 1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List Table 1 Light - Accent 2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List Table 1 Light - Accent 3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>
    <w:name w:val="List Table 1 Light - Accent 4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>
    <w:name w:val="List Table 1 Light - Accent 5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>
    <w:name w:val="List Table 1 Light - Accent 6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>
    <w:name w:val="List Table 2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00">
    <w:name w:val="List Table 2 - Accent 1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01">
    <w:name w:val="List Table 2 - Accent 2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02">
    <w:name w:val="List Table 2 - Accent 3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03">
    <w:name w:val="List Table 2 - Accent 4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04">
    <w:name w:val="List Table 2 - Accent 5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05">
    <w:name w:val="List Table 2 - Accent 6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06">
    <w:name w:val="List Table 3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3 - Accent 1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3 - Accent 2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3 - Accent 3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3 - Accent 4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3 - Accent 5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3 - Accent 6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List Table 4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List Table 4 - Accent 1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>
    <w:name w:val="List Table 4 - Accent 2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>
    <w:name w:val="List Table 4 - Accent 3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>
    <w:name w:val="List Table 4 - Accent 4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>
    <w:name w:val="List Table 4 - Accent 5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>
    <w:name w:val="List Table 4 - Accent 6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>
    <w:name w:val="List Table 5 Dark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1">
    <w:name w:val="List Table 5 Dark - Accent 1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2">
    <w:name w:val="List Table 5 Dark - Accent 2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3">
    <w:name w:val="List Table 5 Dark - Accent 3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4">
    <w:name w:val="List Table 5 Dark - Accent 4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5">
    <w:name w:val="List Table 5 Dark - Accent 5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6">
    <w:name w:val="List Table 5 Dark - Accent 6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7">
    <w:name w:val="List Table 6 Colorful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28">
    <w:name w:val="List Table 6 Colorful - Accent 1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29">
    <w:name w:val="List Table 6 Colorful - Accent 2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30">
    <w:name w:val="List Table 6 Colorful - Accent 3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31">
    <w:name w:val="List Table 6 Colorful - Accent 4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32">
    <w:name w:val="List Table 6 Colorful - Accent 5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33">
    <w:name w:val="List Table 6 Colorful - Accent 6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34">
    <w:name w:val="List Table 7 Colorful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35">
    <w:name w:val="List Table 7 Colorful - Accent 1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36">
    <w:name w:val="List Table 7 Colorful - Accent 2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37">
    <w:name w:val="List Table 7 Colorful - Accent 3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38">
    <w:name w:val="List Table 7 Colorful - Accent 4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39">
    <w:name w:val="List Table 7 Colorful - Accent 5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40">
    <w:name w:val="List Table 7 Colorful - Accent 6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41">
    <w:name w:val="Lined - Accent"/>
    <w:basedOn w:val="8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42">
    <w:name w:val="Lined - Accent 1"/>
    <w:basedOn w:val="8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43">
    <w:name w:val="Lined - Accent 2"/>
    <w:basedOn w:val="8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44">
    <w:name w:val="Lined - Accent 3"/>
    <w:basedOn w:val="8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45">
    <w:name w:val="Lined - Accent 4"/>
    <w:basedOn w:val="8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46">
    <w:name w:val="Lined - Accent 5"/>
    <w:basedOn w:val="8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47">
    <w:name w:val="Lined - Accent 6"/>
    <w:basedOn w:val="8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48">
    <w:name w:val="Bordered &amp; Lined - Accent"/>
    <w:basedOn w:val="8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49">
    <w:name w:val="Bordered &amp; Lined - Accent 1"/>
    <w:basedOn w:val="8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50">
    <w:name w:val="Bordered &amp; Lined - Accent 2"/>
    <w:basedOn w:val="8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51">
    <w:name w:val="Bordered &amp; Lined - Accent 3"/>
    <w:basedOn w:val="8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52">
    <w:name w:val="Bordered &amp; Lined - Accent 4"/>
    <w:basedOn w:val="8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53">
    <w:name w:val="Bordered &amp; Lined - Accent 5"/>
    <w:basedOn w:val="8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54">
    <w:name w:val="Bordered &amp; Lined - Accent 6"/>
    <w:basedOn w:val="8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55">
    <w:name w:val="Bordered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56">
    <w:name w:val="Bordered - Accent 1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57">
    <w:name w:val="Bordered - Accent 2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58">
    <w:name w:val="Bordered - Accent 3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59">
    <w:name w:val="Bordered - Accent 4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60">
    <w:name w:val="Bordered - Accent 5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61">
    <w:name w:val="Bordered - Accent 6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62">
    <w:name w:val="Footnote Text Char"/>
    <w:link w:val="940"/>
    <w:uiPriority w:val="99"/>
    <w:rPr>
      <w:sz w:val="18"/>
    </w:rPr>
  </w:style>
  <w:style w:type="paragraph" w:styleId="863">
    <w:name w:val="endnote text"/>
    <w:basedOn w:val="877"/>
    <w:link w:val="864"/>
    <w:uiPriority w:val="99"/>
    <w:semiHidden/>
    <w:unhideWhenUsed/>
    <w:pPr>
      <w:spacing w:after="0" w:line="240" w:lineRule="auto"/>
    </w:pPr>
    <w:rPr>
      <w:sz w:val="20"/>
    </w:rPr>
  </w:style>
  <w:style w:type="character" w:styleId="864">
    <w:name w:val="Endnote Text Char"/>
    <w:link w:val="863"/>
    <w:uiPriority w:val="99"/>
    <w:rPr>
      <w:sz w:val="20"/>
    </w:rPr>
  </w:style>
  <w:style w:type="character" w:styleId="865">
    <w:name w:val="endnote reference"/>
    <w:basedOn w:val="884"/>
    <w:uiPriority w:val="99"/>
    <w:semiHidden/>
    <w:unhideWhenUsed/>
    <w:rPr>
      <w:vertAlign w:val="superscript"/>
    </w:rPr>
  </w:style>
  <w:style w:type="paragraph" w:styleId="866">
    <w:name w:val="toc 1"/>
    <w:basedOn w:val="877"/>
    <w:next w:val="877"/>
    <w:uiPriority w:val="39"/>
    <w:unhideWhenUsed/>
    <w:pPr>
      <w:ind w:left="0" w:right="0" w:firstLine="0"/>
      <w:spacing w:after="57"/>
    </w:pPr>
  </w:style>
  <w:style w:type="paragraph" w:styleId="867">
    <w:name w:val="toc 2"/>
    <w:basedOn w:val="877"/>
    <w:next w:val="877"/>
    <w:uiPriority w:val="39"/>
    <w:unhideWhenUsed/>
    <w:pPr>
      <w:ind w:left="283" w:right="0" w:firstLine="0"/>
      <w:spacing w:after="57"/>
    </w:pPr>
  </w:style>
  <w:style w:type="paragraph" w:styleId="868">
    <w:name w:val="toc 3"/>
    <w:basedOn w:val="877"/>
    <w:next w:val="877"/>
    <w:uiPriority w:val="39"/>
    <w:unhideWhenUsed/>
    <w:pPr>
      <w:ind w:left="567" w:right="0" w:firstLine="0"/>
      <w:spacing w:after="57"/>
    </w:pPr>
  </w:style>
  <w:style w:type="paragraph" w:styleId="869">
    <w:name w:val="toc 4"/>
    <w:basedOn w:val="877"/>
    <w:next w:val="877"/>
    <w:uiPriority w:val="39"/>
    <w:unhideWhenUsed/>
    <w:pPr>
      <w:ind w:left="850" w:right="0" w:firstLine="0"/>
      <w:spacing w:after="57"/>
    </w:pPr>
  </w:style>
  <w:style w:type="paragraph" w:styleId="870">
    <w:name w:val="toc 5"/>
    <w:basedOn w:val="877"/>
    <w:next w:val="877"/>
    <w:uiPriority w:val="39"/>
    <w:unhideWhenUsed/>
    <w:pPr>
      <w:ind w:left="1134" w:right="0" w:firstLine="0"/>
      <w:spacing w:after="57"/>
    </w:pPr>
  </w:style>
  <w:style w:type="paragraph" w:styleId="871">
    <w:name w:val="toc 6"/>
    <w:basedOn w:val="877"/>
    <w:next w:val="877"/>
    <w:uiPriority w:val="39"/>
    <w:unhideWhenUsed/>
    <w:pPr>
      <w:ind w:left="1417" w:right="0" w:firstLine="0"/>
      <w:spacing w:after="57"/>
    </w:pPr>
  </w:style>
  <w:style w:type="paragraph" w:styleId="872">
    <w:name w:val="toc 7"/>
    <w:basedOn w:val="877"/>
    <w:next w:val="877"/>
    <w:uiPriority w:val="39"/>
    <w:unhideWhenUsed/>
    <w:pPr>
      <w:ind w:left="1701" w:right="0" w:firstLine="0"/>
      <w:spacing w:after="57"/>
    </w:pPr>
  </w:style>
  <w:style w:type="paragraph" w:styleId="873">
    <w:name w:val="toc 8"/>
    <w:basedOn w:val="877"/>
    <w:next w:val="877"/>
    <w:uiPriority w:val="39"/>
    <w:unhideWhenUsed/>
    <w:pPr>
      <w:ind w:left="1984" w:right="0" w:firstLine="0"/>
      <w:spacing w:after="57"/>
    </w:pPr>
  </w:style>
  <w:style w:type="paragraph" w:styleId="874">
    <w:name w:val="toc 9"/>
    <w:basedOn w:val="877"/>
    <w:next w:val="877"/>
    <w:uiPriority w:val="39"/>
    <w:unhideWhenUsed/>
    <w:pPr>
      <w:ind w:left="2268" w:right="0" w:firstLine="0"/>
      <w:spacing w:after="57"/>
    </w:pPr>
  </w:style>
  <w:style w:type="paragraph" w:styleId="875">
    <w:name w:val="TOC Heading"/>
    <w:uiPriority w:val="39"/>
    <w:unhideWhenUsed/>
  </w:style>
  <w:style w:type="paragraph" w:styleId="876">
    <w:name w:val="table of figures"/>
    <w:basedOn w:val="877"/>
    <w:next w:val="877"/>
    <w:uiPriority w:val="99"/>
    <w:unhideWhenUsed/>
    <w:pPr>
      <w:spacing w:after="0" w:afterAutospacing="0"/>
    </w:pPr>
  </w:style>
  <w:style w:type="paragraph" w:styleId="877" w:default="1">
    <w:name w:val="Normal"/>
    <w:qFormat/>
    <w:rPr>
      <w:rFonts w:ascii="Times New Roman" w:hAnsi="Times New Roman" w:eastAsia="Times New Roman"/>
    </w:rPr>
  </w:style>
  <w:style w:type="paragraph" w:styleId="878">
    <w:name w:val="Heading 1"/>
    <w:basedOn w:val="877"/>
    <w:next w:val="877"/>
    <w:link w:val="922"/>
    <w:qFormat/>
    <w:pPr>
      <w:keepNext/>
      <w:outlineLvl w:val="0"/>
    </w:pPr>
    <w:rPr>
      <w:sz w:val="28"/>
      <w:szCs w:val="24"/>
    </w:rPr>
  </w:style>
  <w:style w:type="paragraph" w:styleId="879">
    <w:name w:val="Heading 2"/>
    <w:basedOn w:val="877"/>
    <w:next w:val="877"/>
    <w:link w:val="917"/>
    <w:uiPriority w:val="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80">
    <w:name w:val="Heading 3"/>
    <w:basedOn w:val="877"/>
    <w:next w:val="877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81">
    <w:name w:val="Heading 4"/>
    <w:basedOn w:val="877"/>
    <w:next w:val="877"/>
    <w:qFormat/>
    <w:pPr>
      <w:keepNext/>
      <w:outlineLvl w:val="3"/>
    </w:pPr>
    <w:rPr>
      <w:b/>
      <w:bCs/>
      <w:sz w:val="28"/>
      <w:szCs w:val="24"/>
    </w:rPr>
  </w:style>
  <w:style w:type="paragraph" w:styleId="882">
    <w:name w:val="Heading 5"/>
    <w:basedOn w:val="877"/>
    <w:next w:val="877"/>
    <w:qFormat/>
    <w:pPr>
      <w:jc w:val="center"/>
      <w:keepNext/>
      <w:outlineLvl w:val="4"/>
    </w:pPr>
    <w:rPr>
      <w:i/>
      <w:sz w:val="24"/>
      <w:szCs w:val="24"/>
    </w:rPr>
  </w:style>
  <w:style w:type="paragraph" w:styleId="883">
    <w:name w:val="Heading 7"/>
    <w:basedOn w:val="877"/>
    <w:next w:val="877"/>
    <w:qFormat/>
    <w:pPr>
      <w:spacing w:before="240" w:after="60"/>
      <w:outlineLvl w:val="6"/>
    </w:pPr>
    <w:rPr>
      <w:sz w:val="24"/>
      <w:szCs w:val="24"/>
    </w:rPr>
  </w:style>
  <w:style w:type="character" w:styleId="884" w:default="1">
    <w:name w:val="Default Paragraph Font"/>
    <w:uiPriority w:val="1"/>
    <w:semiHidden/>
    <w:unhideWhenUsed/>
  </w:style>
  <w:style w:type="table" w:styleId="88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86" w:default="1">
    <w:name w:val="No List"/>
    <w:uiPriority w:val="99"/>
    <w:semiHidden/>
    <w:unhideWhenUsed/>
  </w:style>
  <w:style w:type="paragraph" w:styleId="887">
    <w:name w:val="Balloon Text"/>
    <w:basedOn w:val="877"/>
    <w:link w:val="888"/>
    <w:uiPriority w:val="99"/>
    <w:unhideWhenUsed/>
    <w:rPr>
      <w:rFonts w:ascii="Tahoma" w:hAnsi="Tahoma" w:cs="Tahoma"/>
      <w:sz w:val="16"/>
      <w:szCs w:val="16"/>
    </w:rPr>
  </w:style>
  <w:style w:type="character" w:styleId="888" w:customStyle="1">
    <w:name w:val="Текст выноски Знак"/>
    <w:link w:val="887"/>
    <w:uiPriority w:val="99"/>
    <w:rPr>
      <w:rFonts w:ascii="Tahoma" w:hAnsi="Tahoma" w:cs="Tahoma"/>
      <w:sz w:val="16"/>
      <w:szCs w:val="16"/>
    </w:rPr>
  </w:style>
  <w:style w:type="paragraph" w:styleId="889">
    <w:name w:val="E-mail Signature"/>
    <w:basedOn w:val="877"/>
    <w:link w:val="890"/>
    <w:uiPriority w:val="99"/>
    <w:semiHidden/>
    <w:unhideWhenUsed/>
    <w:rPr>
      <w:rFonts w:ascii="Calibri" w:hAnsi="Calibri"/>
      <w:sz w:val="22"/>
      <w:szCs w:val="22"/>
    </w:rPr>
  </w:style>
  <w:style w:type="character" w:styleId="890" w:customStyle="1">
    <w:name w:val="Электронная подпись Знак"/>
    <w:link w:val="889"/>
    <w:uiPriority w:val="99"/>
    <w:semiHidden/>
    <w:rPr>
      <w:rFonts w:ascii="Calibri" w:hAnsi="Calibri" w:eastAsia="Times New Roman" w:cs="Times New Roman"/>
      <w:lang w:eastAsia="ru-RU"/>
    </w:rPr>
  </w:style>
  <w:style w:type="paragraph" w:styleId="891" w:customStyle="1">
    <w:name w:val="Знак"/>
    <w:basedOn w:val="877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892">
    <w:name w:val="Table Grid"/>
    <w:basedOn w:val="885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93">
    <w:name w:val="Body Text Indent"/>
    <w:basedOn w:val="877"/>
    <w:link w:val="932"/>
    <w:pPr>
      <w:ind w:left="283"/>
      <w:spacing w:after="120"/>
    </w:pPr>
    <w:rPr>
      <w:sz w:val="24"/>
      <w:szCs w:val="24"/>
    </w:rPr>
  </w:style>
  <w:style w:type="paragraph" w:styleId="894" w:customStyle="1">
    <w:name w:val="ConsPlusNormal"/>
    <w:pPr>
      <w:ind w:firstLine="720"/>
      <w:widowControl w:val="off"/>
    </w:pPr>
    <w:rPr>
      <w:rFonts w:ascii="Arial" w:hAnsi="Arial" w:eastAsia="Times New Roman" w:cs="Arial"/>
    </w:rPr>
  </w:style>
  <w:style w:type="paragraph" w:styleId="895">
    <w:name w:val="List Paragraph"/>
    <w:basedOn w:val="877"/>
    <w:link w:val="924"/>
    <w:uiPriority w:val="34"/>
    <w:qFormat/>
    <w:pPr>
      <w:contextualSpacing/>
      <w:ind w:left="720"/>
      <w:spacing w:after="200" w:line="276" w:lineRule="auto"/>
    </w:pPr>
    <w:rPr>
      <w:rFonts w:ascii="Calibri" w:hAnsi="Calibri"/>
      <w:sz w:val="22"/>
      <w:szCs w:val="22"/>
    </w:rPr>
  </w:style>
  <w:style w:type="paragraph" w:styleId="896">
    <w:name w:val="Body Text"/>
    <w:basedOn w:val="877"/>
    <w:link w:val="923"/>
    <w:pPr>
      <w:spacing w:after="120"/>
    </w:pPr>
  </w:style>
  <w:style w:type="character" w:styleId="897">
    <w:name w:val="Hyperlink"/>
    <w:uiPriority w:val="99"/>
    <w:unhideWhenUsed/>
    <w:rPr>
      <w:color w:val="0000ff"/>
      <w:u w:val="single"/>
    </w:rPr>
  </w:style>
  <w:style w:type="character" w:styleId="898">
    <w:name w:val="FollowedHyperlink"/>
    <w:uiPriority w:val="99"/>
    <w:rPr>
      <w:color w:val="800080"/>
      <w:u w:val="single"/>
    </w:rPr>
  </w:style>
  <w:style w:type="paragraph" w:styleId="899">
    <w:name w:val="Title"/>
    <w:basedOn w:val="877"/>
    <w:link w:val="931"/>
    <w:qFormat/>
    <w:pPr>
      <w:jc w:val="center"/>
    </w:pPr>
    <w:rPr>
      <w:b/>
      <w:sz w:val="24"/>
      <w:szCs w:val="24"/>
    </w:rPr>
  </w:style>
  <w:style w:type="paragraph" w:styleId="900">
    <w:name w:val="Body Text Indent 2"/>
    <w:basedOn w:val="877"/>
    <w:pPr>
      <w:ind w:left="708"/>
      <w:jc w:val="both"/>
    </w:pPr>
    <w:rPr>
      <w:sz w:val="28"/>
      <w:szCs w:val="24"/>
    </w:rPr>
  </w:style>
  <w:style w:type="paragraph" w:styleId="901">
    <w:name w:val="Body Text Indent 3"/>
    <w:basedOn w:val="877"/>
    <w:link w:val="933"/>
    <w:pPr>
      <w:ind w:left="708" w:firstLine="709"/>
      <w:jc w:val="both"/>
    </w:pPr>
    <w:rPr>
      <w:sz w:val="28"/>
      <w:szCs w:val="24"/>
    </w:rPr>
  </w:style>
  <w:style w:type="paragraph" w:styleId="902">
    <w:name w:val="Body Text 2"/>
    <w:basedOn w:val="877"/>
    <w:link w:val="948"/>
    <w:pPr>
      <w:jc w:val="center"/>
    </w:pPr>
    <w:rPr>
      <w:bCs/>
      <w:sz w:val="28"/>
      <w:szCs w:val="24"/>
    </w:rPr>
  </w:style>
  <w:style w:type="character" w:styleId="903" w:customStyle="1">
    <w:name w:val="Заголовок 7 Знак"/>
    <w:rPr>
      <w:sz w:val="24"/>
      <w:szCs w:val="24"/>
    </w:rPr>
  </w:style>
  <w:style w:type="paragraph" w:styleId="904">
    <w:name w:val="Body Text 3"/>
    <w:basedOn w:val="877"/>
    <w:rPr>
      <w:sz w:val="24"/>
    </w:rPr>
  </w:style>
  <w:style w:type="paragraph" w:styleId="905">
    <w:name w:val="Header"/>
    <w:basedOn w:val="877"/>
    <w:link w:val="926"/>
    <w:uiPriority w:val="99"/>
    <w:pPr>
      <w:tabs>
        <w:tab w:val="center" w:pos="4677" w:leader="none"/>
        <w:tab w:val="right" w:pos="9355" w:leader="none"/>
      </w:tabs>
    </w:pPr>
    <w:rPr>
      <w:sz w:val="28"/>
      <w:szCs w:val="24"/>
    </w:rPr>
  </w:style>
  <w:style w:type="paragraph" w:styleId="906">
    <w:name w:val="Footer"/>
    <w:basedOn w:val="877"/>
    <w:link w:val="945"/>
    <w:uiPriority w:val="99"/>
    <w:pPr>
      <w:tabs>
        <w:tab w:val="center" w:pos="4677" w:leader="none"/>
        <w:tab w:val="right" w:pos="9355" w:leader="none"/>
      </w:tabs>
    </w:pPr>
    <w:rPr>
      <w:sz w:val="28"/>
      <w:szCs w:val="24"/>
    </w:rPr>
  </w:style>
  <w:style w:type="paragraph" w:styleId="907" w:customStyle="1">
    <w:name w:val="Знак1 Знак Знак Знак Знак Знак Знак"/>
    <w:basedOn w:val="877"/>
    <w:pPr>
      <w:spacing w:after="160" w:line="240" w:lineRule="exact"/>
    </w:pPr>
    <w:rPr>
      <w:rFonts w:ascii="Verdana" w:hAnsi="Verdana"/>
      <w:lang w:val="en-US" w:eastAsia="en-US"/>
    </w:rPr>
  </w:style>
  <w:style w:type="paragraph" w:styleId="908" w:customStyle="1">
    <w:name w:val="Знак1"/>
    <w:basedOn w:val="877"/>
    <w:pPr>
      <w:spacing w:after="160" w:line="240" w:lineRule="exact"/>
    </w:pPr>
    <w:rPr>
      <w:rFonts w:ascii="Verdana" w:hAnsi="Verdana"/>
      <w:lang w:val="en-US" w:eastAsia="en-US"/>
    </w:rPr>
  </w:style>
  <w:style w:type="paragraph" w:styleId="909" w:customStyle="1">
    <w:name w:val="Знак"/>
    <w:basedOn w:val="877"/>
    <w:pPr>
      <w:spacing w:after="160" w:line="240" w:lineRule="exact"/>
    </w:pPr>
    <w:rPr>
      <w:rFonts w:ascii="Verdana" w:hAnsi="Verdana"/>
      <w:lang w:val="en-US" w:eastAsia="en-US"/>
    </w:rPr>
  </w:style>
  <w:style w:type="paragraph" w:styleId="910">
    <w:name w:val="Plain Text"/>
    <w:basedOn w:val="877"/>
    <w:link w:val="920"/>
    <w:uiPriority w:val="99"/>
    <w:qFormat/>
    <w:rPr>
      <w:rFonts w:ascii="Courier New" w:hAnsi="Courier New" w:cs="Courier New"/>
    </w:rPr>
  </w:style>
  <w:style w:type="paragraph" w:styleId="911">
    <w:name w:val="Normal (Web)"/>
    <w:basedOn w:val="877"/>
    <w:uiPriority w:val="99"/>
    <w:pPr>
      <w:ind w:firstLine="75"/>
      <w:spacing w:before="75" w:after="75"/>
    </w:pPr>
    <w:rPr>
      <w:rFonts w:ascii="Arial" w:hAnsi="Arial" w:cs="Arial"/>
      <w:sz w:val="24"/>
      <w:szCs w:val="24"/>
    </w:rPr>
  </w:style>
  <w:style w:type="character" w:styleId="912">
    <w:name w:val="page number"/>
    <w:basedOn w:val="884"/>
  </w:style>
  <w:style w:type="paragraph" w:styleId="913" w:customStyle="1">
    <w:name w:val="Основной текст 21"/>
    <w:basedOn w:val="877"/>
    <w:pPr>
      <w:ind w:firstLine="360"/>
      <w:jc w:val="both"/>
    </w:pPr>
    <w:rPr>
      <w:sz w:val="24"/>
    </w:rPr>
  </w:style>
  <w:style w:type="paragraph" w:styleId="914" w:customStyle="1">
    <w:name w:val="Знак Знак Знак Знак Знак Знак Знак Знак Знак Знак"/>
    <w:basedOn w:val="877"/>
    <w:pPr>
      <w:spacing w:after="160" w:line="240" w:lineRule="exact"/>
    </w:pPr>
    <w:rPr>
      <w:rFonts w:ascii="Verdana" w:hAnsi="Verdana"/>
      <w:lang w:val="en-US" w:eastAsia="en-US"/>
    </w:rPr>
  </w:style>
  <w:style w:type="paragraph" w:styleId="915" w:customStyle="1">
    <w:name w:val="Знак Знак Знак Знак"/>
    <w:basedOn w:val="877"/>
    <w:pPr>
      <w:spacing w:after="160" w:line="240" w:lineRule="exact"/>
    </w:pPr>
    <w:rPr>
      <w:rFonts w:ascii="Verdana" w:hAnsi="Verdana"/>
      <w:lang w:val="en-US" w:eastAsia="en-US"/>
    </w:rPr>
  </w:style>
  <w:style w:type="paragraph" w:styleId="916" w:customStyle="1">
    <w:name w:val="ConsPlusTitle"/>
    <w:rPr>
      <w:rFonts w:ascii="Times New Roman" w:hAnsi="Times New Roman" w:eastAsia="Times New Roman"/>
      <w:b/>
      <w:bCs/>
      <w:sz w:val="28"/>
      <w:szCs w:val="28"/>
    </w:rPr>
  </w:style>
  <w:style w:type="character" w:styleId="917" w:customStyle="1">
    <w:name w:val="Заголовок 2 Знак"/>
    <w:link w:val="879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styleId="918" w:customStyle="1">
    <w:name w:val="zagolovok"/>
    <w:basedOn w:val="884"/>
  </w:style>
  <w:style w:type="paragraph" w:styleId="919" w:customStyle="1">
    <w:name w:val="Char Char Char"/>
    <w:basedOn w:val="87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920" w:customStyle="1">
    <w:name w:val="Текст Знак"/>
    <w:link w:val="910"/>
    <w:rPr>
      <w:rFonts w:ascii="Courier New" w:hAnsi="Courier New" w:cs="Courier New"/>
      <w:lang w:val="ru-RU" w:eastAsia="ru-RU" w:bidi="ar-SA"/>
    </w:rPr>
  </w:style>
  <w:style w:type="character" w:styleId="921" w:customStyle="1">
    <w:name w:val="Font Style26"/>
    <w:rPr>
      <w:rFonts w:ascii="Times New Roman" w:hAnsi="Times New Roman" w:cs="Times New Roman"/>
      <w:sz w:val="24"/>
      <w:szCs w:val="24"/>
    </w:rPr>
  </w:style>
  <w:style w:type="character" w:styleId="922" w:customStyle="1">
    <w:name w:val="Заголовок 1 Знак"/>
    <w:link w:val="878"/>
    <w:rPr>
      <w:rFonts w:ascii="Times New Roman" w:hAnsi="Times New Roman" w:eastAsia="Times New Roman"/>
      <w:sz w:val="28"/>
      <w:szCs w:val="24"/>
    </w:rPr>
  </w:style>
  <w:style w:type="character" w:styleId="923" w:customStyle="1">
    <w:name w:val="Основной текст Знак"/>
    <w:link w:val="896"/>
    <w:rPr>
      <w:rFonts w:ascii="Times New Roman" w:hAnsi="Times New Roman" w:eastAsia="Times New Roman"/>
    </w:rPr>
  </w:style>
  <w:style w:type="character" w:styleId="924" w:customStyle="1">
    <w:name w:val="Абзац списка Знак"/>
    <w:link w:val="895"/>
    <w:uiPriority w:val="34"/>
    <w:rPr>
      <w:rFonts w:eastAsia="Times New Roman"/>
      <w:sz w:val="22"/>
      <w:szCs w:val="22"/>
    </w:rPr>
  </w:style>
  <w:style w:type="character" w:styleId="925" w:customStyle="1">
    <w:name w:val="Гипертекстовая ссылка"/>
    <w:uiPriority w:val="99"/>
    <w:rPr>
      <w:b/>
      <w:bCs/>
      <w:color w:val="106bbe"/>
    </w:rPr>
  </w:style>
  <w:style w:type="character" w:styleId="926" w:customStyle="1">
    <w:name w:val="Верхний колонтитул Знак"/>
    <w:basedOn w:val="884"/>
    <w:link w:val="905"/>
    <w:uiPriority w:val="99"/>
    <w:rPr>
      <w:rFonts w:ascii="Times New Roman" w:hAnsi="Times New Roman" w:eastAsia="Times New Roman"/>
      <w:sz w:val="28"/>
      <w:szCs w:val="24"/>
    </w:rPr>
  </w:style>
  <w:style w:type="paragraph" w:styleId="927" w:customStyle="1">
    <w:name w:val="ConsNonformat"/>
    <w:pPr>
      <w:widowControl w:val="off"/>
    </w:pPr>
    <w:rPr>
      <w:rFonts w:ascii="Courier New" w:hAnsi="Courier New" w:eastAsia="Times New Roman" w:cs="Courier New"/>
      <w:lang w:eastAsia="en-US"/>
    </w:rPr>
  </w:style>
  <w:style w:type="paragraph" w:styleId="928" w:customStyle="1">
    <w:name w:val="Знак Знак Знак Знак Знак Знак Знак Знак Знак Знак Знак Знак Знак Знак Знак Знак Знак Знак Знак Знак Знак Знак"/>
    <w:basedOn w:val="87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929" w:customStyle="1">
    <w:name w:val="Знак"/>
    <w:basedOn w:val="877"/>
    <w:pPr>
      <w:spacing w:after="160" w:line="240" w:lineRule="exact"/>
    </w:pPr>
    <w:rPr>
      <w:rFonts w:ascii="Verdana" w:hAnsi="Verdana"/>
      <w:lang w:val="en-US" w:eastAsia="en-US"/>
    </w:rPr>
  </w:style>
  <w:style w:type="paragraph" w:styleId="930">
    <w:name w:val="No Spacing"/>
    <w:link w:val="946"/>
    <w:uiPriority w:val="1"/>
    <w:qFormat/>
    <w:pPr>
      <w:ind w:firstLine="567"/>
      <w:jc w:val="both"/>
    </w:pPr>
    <w:rPr>
      <w:rFonts w:ascii="Times New Roman" w:hAnsi="Times New Roman"/>
      <w:sz w:val="28"/>
      <w:szCs w:val="22"/>
      <w:lang w:eastAsia="en-US"/>
    </w:rPr>
  </w:style>
  <w:style w:type="character" w:styleId="931" w:customStyle="1">
    <w:name w:val="Название Знак"/>
    <w:link w:val="899"/>
    <w:rPr>
      <w:rFonts w:ascii="Times New Roman" w:hAnsi="Times New Roman" w:eastAsia="Times New Roman"/>
      <w:b/>
      <w:sz w:val="24"/>
      <w:szCs w:val="24"/>
    </w:rPr>
  </w:style>
  <w:style w:type="character" w:styleId="932" w:customStyle="1">
    <w:name w:val="Основной текст с отступом Знак"/>
    <w:link w:val="893"/>
    <w:rPr>
      <w:rFonts w:ascii="Times New Roman" w:hAnsi="Times New Roman" w:eastAsia="Times New Roman"/>
      <w:sz w:val="24"/>
      <w:szCs w:val="24"/>
    </w:rPr>
  </w:style>
  <w:style w:type="character" w:styleId="933" w:customStyle="1">
    <w:name w:val="Основной текст с отступом 3 Знак"/>
    <w:link w:val="901"/>
    <w:rPr>
      <w:rFonts w:ascii="Times New Roman" w:hAnsi="Times New Roman" w:eastAsia="Times New Roman"/>
      <w:sz w:val="28"/>
      <w:szCs w:val="24"/>
    </w:rPr>
  </w:style>
  <w:style w:type="paragraph" w:styleId="934">
    <w:name w:val="Document Map"/>
    <w:basedOn w:val="877"/>
    <w:link w:val="935"/>
    <w:semiHidden/>
    <w:pPr>
      <w:shd w:val="clear" w:color="auto" w:fill="000080"/>
    </w:pPr>
    <w:rPr>
      <w:rFonts w:ascii="Tahoma" w:hAnsi="Tahoma" w:cs="Tahoma"/>
    </w:rPr>
  </w:style>
  <w:style w:type="character" w:styleId="935" w:customStyle="1">
    <w:name w:val="Схема документа Знак"/>
    <w:basedOn w:val="884"/>
    <w:link w:val="934"/>
    <w:semiHidden/>
    <w:rPr>
      <w:rFonts w:ascii="Tahoma" w:hAnsi="Tahoma" w:eastAsia="Times New Roman" w:cs="Tahoma"/>
      <w:shd w:val="clear" w:color="auto" w:fill="000080"/>
    </w:rPr>
  </w:style>
  <w:style w:type="character" w:styleId="936" w:customStyle="1">
    <w:name w:val="Знак Знак6"/>
    <w:rPr>
      <w:sz w:val="24"/>
      <w:szCs w:val="24"/>
    </w:rPr>
  </w:style>
  <w:style w:type="paragraph" w:styleId="937">
    <w:name w:val="annotation text"/>
    <w:basedOn w:val="877"/>
    <w:link w:val="938"/>
  </w:style>
  <w:style w:type="character" w:styleId="938" w:customStyle="1">
    <w:name w:val="Текст примечания Знак"/>
    <w:basedOn w:val="884"/>
    <w:link w:val="937"/>
    <w:rPr>
      <w:rFonts w:ascii="Times New Roman" w:hAnsi="Times New Roman" w:eastAsia="Times New Roman"/>
    </w:rPr>
  </w:style>
  <w:style w:type="paragraph" w:styleId="939" w:customStyle="1">
    <w:name w:val="Знак Знак Знак Знак"/>
    <w:basedOn w:val="877"/>
    <w:pPr>
      <w:spacing w:after="160" w:line="240" w:lineRule="exact"/>
    </w:pPr>
    <w:rPr>
      <w:rFonts w:ascii="Verdana" w:hAnsi="Verdana"/>
      <w:lang w:val="en-US" w:eastAsia="en-US"/>
    </w:rPr>
  </w:style>
  <w:style w:type="paragraph" w:styleId="940">
    <w:name w:val="footnote text"/>
    <w:basedOn w:val="877"/>
    <w:link w:val="941"/>
    <w:uiPriority w:val="99"/>
  </w:style>
  <w:style w:type="character" w:styleId="941" w:customStyle="1">
    <w:name w:val="Текст сноски Знак"/>
    <w:basedOn w:val="884"/>
    <w:link w:val="940"/>
    <w:uiPriority w:val="99"/>
    <w:rPr>
      <w:rFonts w:ascii="Times New Roman" w:hAnsi="Times New Roman" w:eastAsia="Times New Roman"/>
    </w:rPr>
  </w:style>
  <w:style w:type="character" w:styleId="942">
    <w:name w:val="footnote reference"/>
    <w:uiPriority w:val="99"/>
    <w:rPr>
      <w:vertAlign w:val="superscript"/>
    </w:rPr>
  </w:style>
  <w:style w:type="paragraph" w:styleId="943" w:customStyle="1">
    <w:name w:val="Обычный1"/>
    <w:pPr>
      <w:ind w:left="5200" w:right="800"/>
      <w:spacing w:line="300" w:lineRule="auto"/>
    </w:pPr>
    <w:rPr>
      <w:rFonts w:ascii="Times New Roman" w:hAnsi="Times New Roman" w:eastAsia="Times New Roman"/>
      <w:b/>
      <w:sz w:val="24"/>
    </w:rPr>
  </w:style>
  <w:style w:type="character" w:styleId="944" w:customStyle="1">
    <w:name w:val="Font Style13"/>
    <w:rPr>
      <w:rFonts w:hint="default" w:ascii="Times New Roman" w:hAnsi="Times New Roman" w:cs="Times New Roman"/>
      <w:b/>
      <w:bCs/>
      <w:sz w:val="22"/>
      <w:szCs w:val="22"/>
    </w:rPr>
  </w:style>
  <w:style w:type="character" w:styleId="945" w:customStyle="1">
    <w:name w:val="Нижний колонтитул Знак"/>
    <w:link w:val="906"/>
    <w:uiPriority w:val="99"/>
    <w:rPr>
      <w:rFonts w:ascii="Times New Roman" w:hAnsi="Times New Roman" w:eastAsia="Times New Roman"/>
      <w:sz w:val="28"/>
      <w:szCs w:val="24"/>
    </w:rPr>
  </w:style>
  <w:style w:type="character" w:styleId="946" w:customStyle="1">
    <w:name w:val="Без интервала Знак"/>
    <w:link w:val="930"/>
    <w:uiPriority w:val="1"/>
    <w:qFormat/>
    <w:rPr>
      <w:rFonts w:ascii="Times New Roman" w:hAnsi="Times New Roman"/>
      <w:sz w:val="28"/>
      <w:szCs w:val="22"/>
      <w:lang w:eastAsia="en-US"/>
    </w:rPr>
  </w:style>
  <w:style w:type="character" w:styleId="947" w:customStyle="1">
    <w:name w:val="Основной текст + Sylfaen;9;5 pt"/>
    <w:rPr>
      <w:rFonts w:ascii="Sylfaen" w:hAnsi="Sylfaen" w:eastAsia="Sylfaen" w:cs="Sylfae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styleId="948" w:customStyle="1">
    <w:name w:val="Основной текст 2 Знак"/>
    <w:basedOn w:val="884"/>
    <w:link w:val="902"/>
    <w:rPr>
      <w:rFonts w:ascii="Times New Roman" w:hAnsi="Times New Roman" w:eastAsia="Times New Roman"/>
      <w:bCs/>
      <w:sz w:val="28"/>
      <w:szCs w:val="24"/>
    </w:rPr>
  </w:style>
  <w:style w:type="character" w:styleId="949" w:customStyle="1">
    <w:name w:val="header-user-name"/>
    <w:basedOn w:val="884"/>
  </w:style>
  <w:style w:type="character" w:styleId="950" w:customStyle="1">
    <w:name w:val="Основной текст (2)_"/>
    <w:link w:val="952"/>
    <w:uiPriority w:val="99"/>
    <w:rPr>
      <w:shd w:val="clear" w:color="auto" w:fill="ffffff"/>
    </w:rPr>
  </w:style>
  <w:style w:type="character" w:styleId="951" w:customStyle="1">
    <w:name w:val="Основной текст (2) + 9;5 pt"/>
    <w:rPr>
      <w:color w:val="000000"/>
      <w:spacing w:val="0"/>
      <w:position w:val="0"/>
      <w:sz w:val="19"/>
      <w:szCs w:val="19"/>
      <w:shd w:val="clear" w:color="auto" w:fill="ffffff"/>
      <w:lang w:val="ru-RU" w:eastAsia="ru-RU" w:bidi="ru-RU"/>
    </w:rPr>
  </w:style>
  <w:style w:type="paragraph" w:styleId="952" w:customStyle="1">
    <w:name w:val="Основной текст (2)"/>
    <w:basedOn w:val="877"/>
    <w:link w:val="950"/>
    <w:pPr>
      <w:spacing w:before="480" w:after="60" w:line="0" w:lineRule="atLeast"/>
      <w:shd w:val="clear" w:color="auto" w:fill="ffffff"/>
      <w:widowControl w:val="off"/>
    </w:pPr>
    <w:rPr>
      <w:rFonts w:ascii="Calibri" w:hAnsi="Calibri" w:eastAsia="Calibri"/>
    </w:rPr>
  </w:style>
  <w:style w:type="paragraph" w:styleId="953" w:customStyle="1">
    <w:name w:val="Без интервала1"/>
    <w:link w:val="954"/>
    <w:pPr>
      <w:widowControl w:val="off"/>
    </w:pPr>
    <w:rPr>
      <w:rFonts w:ascii="Times New Roman" w:hAnsi="Times New Roman" w:eastAsia="Times New Roman"/>
    </w:rPr>
  </w:style>
  <w:style w:type="character" w:styleId="954" w:customStyle="1">
    <w:name w:val="No Spacing Char"/>
    <w:link w:val="953"/>
    <w:rPr>
      <w:rFonts w:ascii="Times New Roman" w:hAnsi="Times New Roman" w:eastAsia="Times New Roman"/>
    </w:rPr>
  </w:style>
  <w:style w:type="table" w:styleId="955" w:customStyle="1">
    <w:name w:val="Сетка таблицы1"/>
    <w:basedOn w:val="885"/>
    <w:next w:val="892"/>
    <w:rPr>
      <w:rFonts w:ascii="Times New Roman" w:hAnsi="Times New Roman" w:eastAsia="Times New Roman"/>
      <w:lang w:eastAsia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956" w:customStyle="1">
    <w:name w:val="Основной текст (30) Exact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spacing w:val="1"/>
      <w:sz w:val="17"/>
      <w:szCs w:val="17"/>
      <w:u w:val="none"/>
    </w:rPr>
  </w:style>
  <w:style w:type="table" w:styleId="957" w:customStyle="1">
    <w:name w:val="Сетка таблицы3"/>
    <w:basedOn w:val="885"/>
    <w:next w:val="892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958" w:customStyle="1">
    <w:name w:val="Основной текст_"/>
    <w:link w:val="959"/>
    <w:rPr>
      <w:rFonts w:ascii="Times New Roman" w:hAnsi="Times New Roman" w:eastAsia="Times New Roman"/>
      <w:sz w:val="26"/>
      <w:szCs w:val="26"/>
      <w:shd w:val="clear" w:color="auto" w:fill="ffffff"/>
    </w:rPr>
  </w:style>
  <w:style w:type="paragraph" w:styleId="959" w:customStyle="1">
    <w:name w:val="Основной текст1"/>
    <w:basedOn w:val="877"/>
    <w:link w:val="958"/>
    <w:pPr>
      <w:jc w:val="right"/>
      <w:spacing w:before="300" w:line="317" w:lineRule="exact"/>
      <w:shd w:val="clear" w:color="auto" w:fill="ffffff"/>
      <w:widowControl w:val="off"/>
    </w:pPr>
    <w:rPr>
      <w:sz w:val="26"/>
      <w:szCs w:val="26"/>
    </w:rPr>
  </w:style>
  <w:style w:type="character" w:styleId="960" w:customStyle="1">
    <w:name w:val="Заголовок №1_"/>
    <w:link w:val="961"/>
    <w:uiPriority w:val="99"/>
    <w:rPr>
      <w:rFonts w:ascii="Times New Roman" w:hAnsi="Times New Roman" w:eastAsia="Times New Roman"/>
      <w:b/>
      <w:bCs/>
      <w:sz w:val="28"/>
      <w:szCs w:val="28"/>
      <w:shd w:val="clear" w:color="auto" w:fill="ffffff"/>
    </w:rPr>
  </w:style>
  <w:style w:type="paragraph" w:styleId="961" w:customStyle="1">
    <w:name w:val="Заголовок №1"/>
    <w:basedOn w:val="877"/>
    <w:link w:val="960"/>
    <w:uiPriority w:val="99"/>
    <w:pPr>
      <w:jc w:val="both"/>
      <w:spacing w:after="60" w:line="0" w:lineRule="atLeast"/>
      <w:shd w:val="clear" w:color="auto" w:fill="ffffff"/>
      <w:widowControl w:val="off"/>
      <w:outlineLvl w:val="0"/>
    </w:pPr>
    <w:rPr>
      <w:b/>
      <w:bCs/>
      <w:sz w:val="28"/>
      <w:szCs w:val="28"/>
    </w:rPr>
  </w:style>
  <w:style w:type="paragraph" w:styleId="962" w:customStyle="1">
    <w:name w:val="ConsTitle"/>
    <w:rPr>
      <w:rFonts w:ascii="Arial" w:hAnsi="Arial" w:eastAsia="Times New Roman" w:cs="Arial"/>
      <w:b/>
      <w:bCs/>
    </w:rPr>
  </w:style>
  <w:style w:type="paragraph" w:styleId="963" w:customStyle="1">
    <w:name w:val="ConsNormal"/>
    <w:pPr>
      <w:ind w:firstLine="720"/>
    </w:pPr>
    <w:rPr>
      <w:rFonts w:ascii="Arial" w:hAnsi="Arial" w:eastAsia="Times New Roman" w:cs="Arial"/>
    </w:rPr>
  </w:style>
  <w:style w:type="paragraph" w:styleId="964" w:customStyle="1">
    <w:name w:val="Default"/>
    <w:rPr>
      <w:rFonts w:ascii="Times New Roman" w:hAnsi="Times New Roman"/>
      <w:color w:val="000000"/>
      <w:sz w:val="24"/>
      <w:szCs w:val="24"/>
      <w:lang w:eastAsia="en-US"/>
    </w:rPr>
  </w:style>
  <w:style w:type="character" w:styleId="965" w:customStyle="1">
    <w:name w:val="Основной текст Знак1"/>
    <w:rPr>
      <w:rFonts w:ascii="Times New Roman" w:hAnsi="Times New Roman" w:eastAsia="Times New Roman"/>
    </w:rPr>
  </w:style>
  <w:style w:type="character" w:styleId="966" w:customStyle="1">
    <w:name w:val="Текст Знак1"/>
    <w:rPr>
      <w:rFonts w:ascii="Times New Roman" w:hAnsi="Times New Roman" w:eastAsia="Calibri" w:cs="Times New Roman"/>
      <w:sz w:val="24"/>
      <w:szCs w:val="20"/>
    </w:rPr>
  </w:style>
  <w:style w:type="paragraph" w:styleId="967" w:customStyle="1">
    <w:name w:val="ConsPlusNonformat"/>
    <w:pPr>
      <w:widowControl w:val="off"/>
    </w:pPr>
    <w:rPr>
      <w:rFonts w:ascii="Courier New" w:hAnsi="Courier New" w:eastAsia="Times New Roman" w:cs="Courier New"/>
    </w:rPr>
  </w:style>
  <w:style w:type="character" w:styleId="968" w:customStyle="1">
    <w:name w:val="Основной текст (3)_"/>
    <w:link w:val="969"/>
    <w:uiPriority w:val="99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styleId="969" w:customStyle="1">
    <w:name w:val="Основной текст (3)"/>
    <w:basedOn w:val="877"/>
    <w:link w:val="968"/>
    <w:uiPriority w:val="99"/>
    <w:pPr>
      <w:jc w:val="center"/>
      <w:spacing w:before="420" w:after="420" w:line="326" w:lineRule="exact"/>
      <w:shd w:val="clear" w:color="auto" w:fill="ffffff"/>
      <w:widowControl w:val="off"/>
    </w:pPr>
    <w:rPr>
      <w:rFonts w:eastAsia="Calibri"/>
      <w:b/>
      <w:bCs/>
      <w:sz w:val="28"/>
      <w:szCs w:val="28"/>
    </w:rPr>
  </w:style>
  <w:style w:type="paragraph" w:styleId="970" w:customStyle="1">
    <w:name w:val="Содержимое таблицы"/>
    <w:qFormat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00000a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paragraph" w:styleId="971" w:customStyle="1">
    <w:name w:val="Table Paragraph"/>
    <w:uiPriority w:val="1"/>
    <w:qFormat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2"/>
      <w:szCs w:val="22"/>
      <w:highlight w:val="none"/>
      <w:u w:val="none"/>
      <w:vertAlign w:val="baseline"/>
      <w:rtl w:val="0"/>
      <w:cs w:val="0"/>
      <w:lang w:val="ru-RU" w:eastAsia="en-US" w:bidi="ar-SA"/>
      <w14:ligatures w14:val="none"/>
    </w:rPr>
  </w:style>
  <w:style w:type="table" w:styleId="972" w:customStyle="1">
    <w:name w:val="Сетка таблицы2"/>
    <w:uiPriority w:val="59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hint="default" w:ascii="Calibri" w:hAnsi="Calibri" w:eastAsia="Calibri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0"/>
      <w:szCs w:val="20"/>
      <w:highlight w:val="none"/>
      <w:u w:val="none"/>
      <w:vertAlign w:val="baseline"/>
      <w:rtl w:val="0"/>
      <w:cs w:val="0"/>
      <w:lang w:val="ru-RU" w:eastAsia="en-US" w:bidi="ar-SA"/>
      <w14:ligatures w14:val="none"/>
    </w:rPr>
    <w:tblPr>
      <w:tblStyleRowBandSize w:val="1"/>
      <w:tblStyleColBandSize w:val="1"/>
      <w:tblW w:w="0" w:type="auto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autofit"/>
      <w:tblCellMar>
        <w:left w:w="108" w:type="dxa"/>
        <w:top w:w="0" w:type="dxa"/>
        <w:right w:w="108" w:type="dxa"/>
        <w:bottom w:w="0" w:type="dxa"/>
      </w:tblCellMar>
    </w:tblPr>
    <w:trPr>
      <w:cantSplit w:val="false"/>
      <w:jc w:val="left"/>
    </w:trPr>
    <w:tcPr>
      <w:tcW w:w="0" w:type="auto"/>
      <w:vAlign w:val="top"/>
      <w:vMerge w:val="restart"/>
      <w:hMerge w:val="restart"/>
    </w:tcPr>
  </w:style>
  <w:style w:type="table" w:styleId="973" w:customStyle="1">
    <w:name w:val="Сетка таблицы6"/>
    <w:basedOn w:val="720"/>
    <w:next w:val="726"/>
    <w:uiPriority w:val="59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hint="default" w:ascii="Calibri" w:hAnsi="Calibri" w:eastAsia="Calibri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0"/>
      <w:szCs w:val="20"/>
      <w:highlight w:val="none"/>
      <w:u w:val="none"/>
      <w:vertAlign w:val="baseline"/>
      <w:rtl w:val="0"/>
      <w:cs w:val="0"/>
      <w:lang w:val="ru-RU" w:eastAsia="ru-RU" w:bidi="ar-SA"/>
      <w14:ligatures w14:val="none"/>
    </w:rPr>
    <w:tblPr>
      <w:tblStyleRowBandSize w:val="1"/>
      <w:tblStyleColBandSize w:val="1"/>
      <w:tblW w:w="0" w:type="auto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autofit"/>
      <w:tblCellMar>
        <w:left w:w="108" w:type="dxa"/>
        <w:top w:w="0" w:type="dxa"/>
        <w:right w:w="108" w:type="dxa"/>
        <w:bottom w:w="0" w:type="dxa"/>
      </w:tblCellMar>
    </w:tblPr>
    <w:trPr>
      <w:cantSplit w:val="false"/>
      <w:jc w:val="left"/>
    </w:trPr>
    <w:tcPr>
      <w:tcW w:w="0" w:type="auto"/>
      <w:vAlign w:val="top"/>
      <w:vMerge w:val="restart"/>
      <w:hMerge w:val="restart"/>
    </w:tcPr>
  </w:style>
  <w:style w:type="table" w:styleId="974" w:customStyle="1">
    <w:name w:val="Сетка таблицы61"/>
    <w:basedOn w:val="720"/>
    <w:next w:val="726"/>
    <w:uiPriority w:val="59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hint="default" w:asciiTheme="minorHAnsi" w:hAnsiTheme="minorHAnsi" w:eastAsiaTheme="minorHAnsi" w:cstheme="minorBidi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2"/>
      <w:szCs w:val="22"/>
      <w:highlight w:val="none"/>
      <w:u w:val="none"/>
      <w:vertAlign w:val="baseline"/>
      <w:rtl w:val="0"/>
      <w:cs w:val="0"/>
      <w:lang w:val="ru-RU" w:eastAsia="en-US" w:bidi="ar-SA"/>
      <w14:ligatures w14:val="none"/>
    </w:rPr>
    <w:tblPr>
      <w:tblStyleRowBandSize w:val="1"/>
      <w:tblStyleColBandSize w:val="1"/>
      <w:tblW w:w="0" w:type="auto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autofit"/>
      <w:tblCellMar>
        <w:left w:w="108" w:type="dxa"/>
        <w:top w:w="0" w:type="dxa"/>
        <w:right w:w="108" w:type="dxa"/>
        <w:bottom w:w="0" w:type="dxa"/>
      </w:tblCellMar>
    </w:tblPr>
    <w:trPr>
      <w:cantSplit w:val="false"/>
      <w:jc w:val="left"/>
    </w:trPr>
    <w:tcPr>
      <w:tcW w:w="0" w:type="auto"/>
      <w:vAlign w:val="top"/>
      <w:vMerge w:val="restart"/>
      <w:hMerge w:val="restart"/>
    </w:tc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A19A0-EEA7-42FF-8472-CC518BEED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Р7-Офис/7.3.3.220</Application>
  <Company>ДОиН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shsb</dc:creator>
  <cp:revision>63</cp:revision>
  <dcterms:created xsi:type="dcterms:W3CDTF">2023-06-13T11:30:00Z</dcterms:created>
  <dcterms:modified xsi:type="dcterms:W3CDTF">2024-06-19T11:33:38Z</dcterms:modified>
</cp:coreProperties>
</file>